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CA77B">
      <w:pPr>
        <w:pStyle w:val="2"/>
        <w:numPr>
          <w:ilvl w:val="0"/>
          <w:numId w:val="0"/>
        </w:numPr>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目技术、服务要求及商务要求</w:t>
      </w:r>
    </w:p>
    <w:p w14:paraId="2B71A40A">
      <w:pPr>
        <w:numPr>
          <w:ilvl w:val="0"/>
          <w:numId w:val="0"/>
        </w:numPr>
        <w:spacing w:line="560" w:lineRule="exact"/>
        <w:ind w:firstLine="562" w:firstLineChars="200"/>
        <w:rPr>
          <w:rFonts w:hint="eastAsia"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kern w:val="2"/>
          <w:sz w:val="28"/>
          <w:szCs w:val="28"/>
          <w:lang w:val="en-US" w:eastAsia="zh-CN" w:bidi="ar-SA"/>
        </w:rPr>
        <w:t>（一）</w:t>
      </w:r>
      <w:r>
        <w:rPr>
          <w:rFonts w:hint="eastAsia" w:ascii="方正仿宋_GBK" w:hAnsi="方正仿宋_GBK" w:eastAsia="方正仿宋_GBK" w:cs="方正仿宋_GBK"/>
          <w:b/>
          <w:bCs/>
          <w:color w:val="auto"/>
          <w:sz w:val="28"/>
          <w:szCs w:val="28"/>
          <w:highlight w:val="none"/>
          <w:lang w:eastAsia="zh-CN"/>
        </w:rPr>
        <w:t>项目概况</w:t>
      </w:r>
    </w:p>
    <w:p w14:paraId="32108B20">
      <w:pPr>
        <w:numPr>
          <w:ilvl w:val="0"/>
          <w:numId w:val="0"/>
        </w:numPr>
        <w:spacing w:line="360" w:lineRule="auto"/>
        <w:ind w:firstLine="560" w:firstLineChars="200"/>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b w:val="0"/>
          <w:bCs/>
          <w:color w:val="auto"/>
          <w:sz w:val="28"/>
          <w:szCs w:val="28"/>
          <w:highlight w:val="none"/>
          <w:lang w:val="zh-CN" w:eastAsia="zh-CN"/>
        </w:rPr>
        <w:t>根据市水利局文件《关于做好全市重点防汛部位水位警示标识的通 知》要求，做好我区重点防汛部位水位警示标识设置，已建视频站点12处，新建视频站点3处，城区龙舟公园1处，8座满水桥，共计24个点位。</w:t>
      </w:r>
    </w:p>
    <w:tbl>
      <w:tblPr>
        <w:tblStyle w:val="5"/>
        <w:tblW w:w="49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4194"/>
        <w:gridCol w:w="1233"/>
        <w:gridCol w:w="1932"/>
      </w:tblGrid>
      <w:tr w14:paraId="4773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 w:type="pct"/>
            <w:vAlign w:val="center"/>
          </w:tcPr>
          <w:p w14:paraId="76D762BB">
            <w:pPr>
              <w:ind w:right="31" w:rightChars="15"/>
              <w:jc w:val="center"/>
              <w:rPr>
                <w:rFonts w:hint="eastAsia" w:ascii="方正仿宋_GBK" w:hAnsi="方正仿宋_GBK" w:eastAsia="方正仿宋_GBK" w:cs="方正仿宋_GBK"/>
                <w:b/>
                <w:bCs/>
                <w:color w:val="auto"/>
                <w:sz w:val="21"/>
                <w:szCs w:val="21"/>
                <w:lang w:val="en-US" w:eastAsia="zh-CN"/>
              </w:rPr>
            </w:pPr>
            <w:r>
              <w:rPr>
                <w:rFonts w:hint="eastAsia" w:ascii="方正仿宋_GBK" w:hAnsi="方正仿宋_GBK" w:eastAsia="方正仿宋_GBK" w:cs="方正仿宋_GBK"/>
                <w:b/>
                <w:bCs/>
                <w:color w:val="auto"/>
                <w:sz w:val="21"/>
                <w:szCs w:val="21"/>
                <w:lang w:val="en-US" w:eastAsia="zh-CN"/>
              </w:rPr>
              <w:t>序号</w:t>
            </w:r>
          </w:p>
        </w:tc>
        <w:tc>
          <w:tcPr>
            <w:tcW w:w="2497" w:type="pct"/>
            <w:vAlign w:val="center"/>
          </w:tcPr>
          <w:p w14:paraId="048FCE30">
            <w:pPr>
              <w:ind w:right="31" w:rightChars="15"/>
              <w:jc w:val="center"/>
              <w:rPr>
                <w:rFonts w:hint="eastAsia" w:ascii="方正仿宋_GBK" w:hAnsi="方正仿宋_GBK" w:eastAsia="方正仿宋_GBK" w:cs="方正仿宋_GBK"/>
                <w:b/>
                <w:bCs/>
                <w:color w:val="auto"/>
                <w:sz w:val="21"/>
                <w:szCs w:val="21"/>
                <w:lang w:val="en-US" w:eastAsia="zh-CN"/>
              </w:rPr>
            </w:pPr>
            <w:r>
              <w:rPr>
                <w:rFonts w:hint="eastAsia" w:ascii="方正仿宋_GBK" w:hAnsi="方正仿宋_GBK" w:eastAsia="方正仿宋_GBK" w:cs="方正仿宋_GBK"/>
                <w:b/>
                <w:bCs/>
                <w:color w:val="auto"/>
                <w:sz w:val="21"/>
                <w:szCs w:val="21"/>
                <w:lang w:val="en-US" w:eastAsia="zh-CN"/>
              </w:rPr>
              <w:t>标的名称</w:t>
            </w:r>
          </w:p>
        </w:tc>
        <w:tc>
          <w:tcPr>
            <w:tcW w:w="734" w:type="pct"/>
            <w:vAlign w:val="center"/>
          </w:tcPr>
          <w:p w14:paraId="1788816E">
            <w:pPr>
              <w:ind w:right="31" w:rightChars="15"/>
              <w:jc w:val="center"/>
              <w:rPr>
                <w:rFonts w:hint="eastAsia" w:ascii="方正仿宋_GBK" w:hAnsi="方正仿宋_GBK" w:eastAsia="方正仿宋_GBK" w:cs="方正仿宋_GBK"/>
                <w:b/>
                <w:bCs/>
                <w:color w:val="auto"/>
                <w:sz w:val="21"/>
                <w:szCs w:val="21"/>
                <w:lang w:val="en-US" w:eastAsia="zh-CN"/>
              </w:rPr>
            </w:pPr>
            <w:r>
              <w:rPr>
                <w:rFonts w:hint="eastAsia" w:ascii="方正仿宋_GBK" w:hAnsi="方正仿宋_GBK" w:eastAsia="方正仿宋_GBK" w:cs="方正仿宋_GBK"/>
                <w:b/>
                <w:bCs/>
                <w:color w:val="auto"/>
                <w:sz w:val="21"/>
                <w:szCs w:val="21"/>
                <w:lang w:val="en-US" w:eastAsia="zh-CN"/>
              </w:rPr>
              <w:t>数量/单位</w:t>
            </w:r>
          </w:p>
        </w:tc>
        <w:tc>
          <w:tcPr>
            <w:tcW w:w="1150" w:type="pct"/>
            <w:vAlign w:val="center"/>
          </w:tcPr>
          <w:p w14:paraId="62233F39">
            <w:pPr>
              <w:ind w:right="31" w:rightChars="15"/>
              <w:jc w:val="center"/>
              <w:rPr>
                <w:rFonts w:hint="eastAsia" w:ascii="方正仿宋_GBK" w:hAnsi="方正仿宋_GBK" w:eastAsia="方正仿宋_GBK" w:cs="方正仿宋_GBK"/>
                <w:b/>
                <w:bCs/>
                <w:color w:val="auto"/>
                <w:sz w:val="21"/>
                <w:szCs w:val="21"/>
                <w:lang w:val="en-US" w:eastAsia="zh-CN"/>
              </w:rPr>
            </w:pPr>
            <w:r>
              <w:rPr>
                <w:rFonts w:hint="eastAsia" w:ascii="方正仿宋_GBK" w:hAnsi="方正仿宋_GBK" w:eastAsia="方正仿宋_GBK" w:cs="方正仿宋_GBK"/>
                <w:b/>
                <w:bCs/>
                <w:color w:val="auto"/>
                <w:sz w:val="21"/>
                <w:szCs w:val="21"/>
                <w:lang w:val="en-US" w:eastAsia="zh-CN"/>
              </w:rPr>
              <w:t>所属行业</w:t>
            </w:r>
          </w:p>
        </w:tc>
      </w:tr>
      <w:tr w14:paraId="2538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16" w:type="pct"/>
            <w:vAlign w:val="center"/>
          </w:tcPr>
          <w:p w14:paraId="6C3E6EBB">
            <w:pPr>
              <w:ind w:right="31" w:rightChars="15"/>
              <w:jc w:val="center"/>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w:t>
            </w:r>
          </w:p>
        </w:tc>
        <w:tc>
          <w:tcPr>
            <w:tcW w:w="2497" w:type="pct"/>
            <w:vAlign w:val="center"/>
          </w:tcPr>
          <w:p w14:paraId="773FE93F">
            <w:pPr>
              <w:ind w:right="31" w:rightChars="15"/>
              <w:jc w:val="center"/>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巴中市恩阳区河道水标尺及水位警示标识建设项目</w:t>
            </w:r>
          </w:p>
        </w:tc>
        <w:tc>
          <w:tcPr>
            <w:tcW w:w="734" w:type="pct"/>
            <w:vAlign w:val="center"/>
          </w:tcPr>
          <w:p w14:paraId="39BA58A3">
            <w:pPr>
              <w:ind w:right="31" w:rightChars="15"/>
              <w:jc w:val="center"/>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1项</w:t>
            </w:r>
          </w:p>
        </w:tc>
        <w:tc>
          <w:tcPr>
            <w:tcW w:w="1150" w:type="pct"/>
            <w:vAlign w:val="center"/>
          </w:tcPr>
          <w:p w14:paraId="30FB2249">
            <w:pPr>
              <w:ind w:right="31" w:rightChars="15"/>
              <w:jc w:val="center"/>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其他未列明行业</w:t>
            </w:r>
          </w:p>
        </w:tc>
      </w:tr>
    </w:tbl>
    <w:p w14:paraId="154B2C65">
      <w:pPr>
        <w:numPr>
          <w:ilvl w:val="0"/>
          <w:numId w:val="0"/>
        </w:numPr>
        <w:spacing w:line="560" w:lineRule="exact"/>
        <w:ind w:firstLine="562" w:firstLineChars="200"/>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（二）采购内容（实质性要求）</w:t>
      </w:r>
    </w:p>
    <w:p w14:paraId="4AEE95D5">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经现场踏勘，需在尹家新桥河、雪山镇店子河、恩阳皂角树街河边安装立柱式水标尺加警保水位标识牌点位3个；恩阳老大桥桥墩、恩阳龙舟公园、同乐大桥桥墩、茶坝民房基柱、雪山大桥桥墩、义兴小学河边堤防、南江正直镇新大桥桥墩、九镇石洞寺闸门墙面安装金属板水标尺加警保水位标识牌点位8个；恩阳泸溪河、渔溪老桥核校水标尺加警保水位标识牌点位2个、玉山镇双凤停车场、渔溪镇三河大桥、明扬镇青木大桥警保水位标识牌点位3个；8座漫水桥安装金属板水标尺加警保水位标识牌点位8个；共计24个点位。</w:t>
      </w:r>
    </w:p>
    <w:p w14:paraId="0286CF60">
      <w:pPr>
        <w:numPr>
          <w:ilvl w:val="0"/>
          <w:numId w:val="0"/>
        </w:numPr>
        <w:spacing w:line="560" w:lineRule="exact"/>
        <w:ind w:firstLine="562" w:firstLineChars="200"/>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（三）技术要求（实质性要求）</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357"/>
        <w:gridCol w:w="3948"/>
        <w:gridCol w:w="780"/>
        <w:gridCol w:w="792"/>
        <w:gridCol w:w="832"/>
      </w:tblGrid>
      <w:tr w14:paraId="5493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0A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序号</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4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名称</w:t>
            </w:r>
          </w:p>
        </w:tc>
        <w:tc>
          <w:tcPr>
            <w:tcW w:w="2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5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规格参数</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79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单位</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BB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数量</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6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b/>
                <w:bCs/>
                <w:i w:val="0"/>
                <w:iCs w:val="0"/>
                <w:color w:val="000000"/>
                <w:sz w:val="24"/>
                <w:szCs w:val="24"/>
                <w:highlight w:val="none"/>
                <w:u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备注</w:t>
            </w:r>
          </w:p>
        </w:tc>
      </w:tr>
      <w:tr w14:paraId="77CB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3E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4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不锈钢板水标尺</w:t>
            </w:r>
          </w:p>
        </w:tc>
        <w:tc>
          <w:tcPr>
            <w:tcW w:w="2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B9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材质：304不锈钢；</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规格：≥1000mm*1000mm；</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刻度：红/黑；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底漆：白色：</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数字：黑色；汽车烤漆抛光。</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59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5F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12</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47B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r>
      <w:tr w14:paraId="6CCA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C76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9AD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c>
          <w:tcPr>
            <w:tcW w:w="2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8E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材质：304不锈钢；</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规格：≥800mm*1000mm；</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刻度：红/黑；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底漆：白色：</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数字：黑色；汽车烤漆抛光。</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8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7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C5D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r>
      <w:tr w14:paraId="1D3CE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E3D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849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c>
          <w:tcPr>
            <w:tcW w:w="2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408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材质：304不锈钢；</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规格：≥600mm*1000mm；</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刻度：红/黑；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底漆：白色：</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数字：黑色；汽车烤漆抛光。</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D7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79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47</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DB2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r>
      <w:tr w14:paraId="1E98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5CA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6D0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c>
          <w:tcPr>
            <w:tcW w:w="2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E7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材质：304不锈钢；</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规格：≥400mm*500mm；</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刻度：红/黑；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底漆：白色：</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数字：黑色；汽车烤漆抛光。</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CF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96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149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r>
      <w:tr w14:paraId="2D67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399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6E6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c>
          <w:tcPr>
            <w:tcW w:w="2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5D3C">
            <w:pPr>
              <w:keepNext w:val="0"/>
              <w:keepLines w:val="0"/>
              <w:pageBreakBefore w:val="0"/>
              <w:widowControl/>
              <w:suppressLineNumbers w:val="0"/>
              <w:kinsoku/>
              <w:wordWrap/>
              <w:overflowPunct/>
              <w:topLinePunct w:val="0"/>
              <w:autoSpaceDE/>
              <w:autoSpaceDN/>
              <w:bidi w:val="0"/>
              <w:adjustRightInd/>
              <w:snapToGrid/>
              <w:spacing w:after="220" w:afterAutospacing="0" w:line="4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材质：304不锈钢；</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规格：≥200mm*1000mm；</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刻度：红/黑；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底漆：白色：</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数字：黑色；汽车烤漆抛光。</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B3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6E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408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r>
      <w:tr w14:paraId="63AD9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4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B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不锈钢立柱水标尺</w:t>
            </w:r>
          </w:p>
        </w:tc>
        <w:tc>
          <w:tcPr>
            <w:tcW w:w="2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7B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材质：304不锈钢；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规格：管径≥219mm；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厚度：≥3mm；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预埋：≥1000mm。</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F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米</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E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569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r>
      <w:tr w14:paraId="1BC5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E66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799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c>
          <w:tcPr>
            <w:tcW w:w="2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A0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材质：304不锈钢；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规格：管径≥114mm，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刻度：≥1000mm，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预埋：≥200mm。</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0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米</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62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D89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r>
      <w:tr w14:paraId="3BAF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5C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D0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不锈钢背架</w:t>
            </w:r>
          </w:p>
        </w:tc>
        <w:tc>
          <w:tcPr>
            <w:tcW w:w="2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AC7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材质：304不锈钢；</w:t>
            </w:r>
          </w:p>
          <w:p w14:paraId="731F83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断面：≥20mm*30mm*3mm；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规格：≥1000mm*1000mm；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数量：≥5根。</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0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03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12</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310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r>
      <w:tr w14:paraId="122B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EAA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0D5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c>
          <w:tcPr>
            <w:tcW w:w="2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4D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材质：304不锈钢；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断面：≥20mm*30mm*3mm；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规格：≥800mm*1000mm；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数量：≥3根。</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F6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5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B03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r>
      <w:tr w14:paraId="54913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1F4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90B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c>
          <w:tcPr>
            <w:tcW w:w="2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3C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材质：304不锈钢；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断面：≥20mm*30mm*3mm；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规格：≥600mm*1000mm；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数量：≥5根。</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B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E7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D50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r>
      <w:tr w14:paraId="5ADB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26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8F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不锈钢标识牌</w:t>
            </w:r>
          </w:p>
        </w:tc>
        <w:tc>
          <w:tcPr>
            <w:tcW w:w="2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C36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材质：304不锈钢；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规格：≥400mm*300mm；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厚度：≥1.0mm；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单（双）面标注该点位的警戒水位线、保证水位线。</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31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块</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5D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32</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E77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r>
      <w:tr w14:paraId="451CD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816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9A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不锈钢螺杆</w:t>
            </w:r>
          </w:p>
        </w:tc>
        <w:tc>
          <w:tcPr>
            <w:tcW w:w="2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5C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材质：304不锈钢；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规格：直径≥14mm</w:t>
            </w:r>
          </w:p>
          <w:p w14:paraId="0B5EEE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长度：≥25mm（根据现场适当调整）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数量：≥6根 ；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植筋胶。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9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组</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A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59</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4E3F">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highlight w:val="none"/>
                <w:u w:val="none"/>
              </w:rPr>
            </w:pPr>
          </w:p>
        </w:tc>
      </w:tr>
      <w:tr w14:paraId="61C55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29E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F9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不锈钢条</w:t>
            </w:r>
          </w:p>
        </w:tc>
        <w:tc>
          <w:tcPr>
            <w:tcW w:w="2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05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材质：304不锈钢；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宽度：≥30mm；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长度：现场定制；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数量：≥3根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1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组</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7A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31</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B1DD">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highlight w:val="none"/>
                <w:u w:val="none"/>
              </w:rPr>
            </w:pPr>
          </w:p>
        </w:tc>
      </w:tr>
      <w:tr w14:paraId="6D18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3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7</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66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立柱水标尺底座</w:t>
            </w:r>
          </w:p>
        </w:tc>
        <w:tc>
          <w:tcPr>
            <w:tcW w:w="2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A7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水泥基座：C20强度混凝土浇筑；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规格：≥800mm*800mm*1000mm,；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管体：C20强度混凝土浇筑。</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0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座</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F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C9E7">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highlight w:val="none"/>
                <w:u w:val="none"/>
              </w:rPr>
            </w:pPr>
          </w:p>
        </w:tc>
      </w:tr>
      <w:tr w14:paraId="2092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BF5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858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4"/>
                <w:szCs w:val="24"/>
                <w:highlight w:val="none"/>
                <w:u w:val="none"/>
              </w:rPr>
            </w:pPr>
          </w:p>
        </w:tc>
        <w:tc>
          <w:tcPr>
            <w:tcW w:w="2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99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水泥基座：C20强度混凝土浇筑；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基座规格；≥400mm*400mm*600mm；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管体：C20强度混凝土浇筑。</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D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座</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3E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99C8">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highlight w:val="none"/>
                <w:u w:val="none"/>
              </w:rPr>
            </w:pPr>
          </w:p>
        </w:tc>
      </w:tr>
      <w:tr w14:paraId="6355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0C3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E5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校核水标尺</w:t>
            </w:r>
          </w:p>
        </w:tc>
        <w:tc>
          <w:tcPr>
            <w:tcW w:w="2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83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拆旧、校核、安装水标尺。</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6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米</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7C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15</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DF74">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i w:val="0"/>
                <w:iCs w:val="0"/>
                <w:color w:val="000000"/>
                <w:sz w:val="24"/>
                <w:szCs w:val="24"/>
                <w:highlight w:val="none"/>
                <w:u w:val="none"/>
              </w:rPr>
            </w:pPr>
          </w:p>
        </w:tc>
      </w:tr>
    </w:tbl>
    <w:p w14:paraId="51B155E1">
      <w:pPr>
        <w:rPr>
          <w:rFonts w:hint="eastAsia" w:ascii="方正仿宋_GBK" w:hAnsi="方正仿宋_GBK" w:eastAsia="方正仿宋_GBK" w:cs="方正仿宋_GBK"/>
          <w:lang w:val="en-US" w:eastAsia="zh-CN"/>
        </w:rPr>
      </w:pPr>
    </w:p>
    <w:p w14:paraId="7589F579">
      <w:pPr>
        <w:numPr>
          <w:ilvl w:val="0"/>
          <w:numId w:val="0"/>
        </w:numPr>
        <w:spacing w:line="560" w:lineRule="exact"/>
        <w:ind w:firstLine="562" w:firstLineChars="200"/>
        <w:rPr>
          <w:rFonts w:hint="eastAsia" w:ascii="方正仿宋_GBK" w:hAnsi="方正仿宋_GBK" w:eastAsia="方正仿宋_GBK" w:cs="方正仿宋_GBK"/>
          <w:b/>
          <w:bCs/>
          <w:color w:val="auto"/>
          <w:kern w:val="2"/>
          <w:sz w:val="28"/>
          <w:szCs w:val="28"/>
          <w:lang w:val="en-US" w:eastAsia="zh-CN" w:bidi="ar-SA"/>
        </w:rPr>
      </w:pPr>
      <w:r>
        <w:rPr>
          <w:rFonts w:hint="eastAsia" w:ascii="方正仿宋_GBK" w:hAnsi="方正仿宋_GBK" w:eastAsia="方正仿宋_GBK" w:cs="方正仿宋_GBK"/>
          <w:b/>
          <w:bCs/>
          <w:color w:val="auto"/>
          <w:kern w:val="2"/>
          <w:sz w:val="28"/>
          <w:szCs w:val="28"/>
          <w:lang w:val="en-US" w:eastAsia="zh-CN" w:bidi="ar-SA"/>
        </w:rPr>
        <w:t>（四）后续服务要求（实质性要求）</w:t>
      </w:r>
    </w:p>
    <w:p w14:paraId="4BE48848">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1、供应商应配备服务团队定期对点位、配套设施进行日常管理与维护。</w:t>
      </w:r>
      <w:r>
        <w:rPr>
          <w:rFonts w:hint="eastAsia" w:ascii="方正仿宋_GBK" w:hAnsi="方正仿宋_GBK" w:eastAsia="方正仿宋_GBK" w:cs="方正仿宋_GBK"/>
          <w:b/>
          <w:bCs/>
          <w:color w:val="auto"/>
          <w:sz w:val="28"/>
          <w:szCs w:val="28"/>
          <w:lang w:val="en-US" w:eastAsia="zh-CN"/>
        </w:rPr>
        <w:t>（提供服务团队人员名单及联系方式）</w:t>
      </w:r>
    </w:p>
    <w:p w14:paraId="6BA6CF4A">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2、供应商应在本项目建设完成后，2029年汛期前提供后续服务；包括但不限于：巡检、维护、调优、维修、换新。</w:t>
      </w:r>
    </w:p>
    <w:p w14:paraId="579B1F3E">
      <w:pPr>
        <w:pStyle w:val="3"/>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color w:val="auto"/>
          <w:sz w:val="28"/>
          <w:szCs w:val="28"/>
          <w:lang w:val="en-US" w:eastAsia="zh-CN"/>
        </w:rPr>
        <w:t>3、供应商须承诺成交后向采购人提供7×24小时后续服务，接到采购人的服务需求后成交供应商需在5分钟内响应，30分钟内提出解决方案，12小时内完成维修或更换，并承担修理调换的费用。</w:t>
      </w:r>
      <w:r>
        <w:rPr>
          <w:rFonts w:hint="eastAsia" w:ascii="方正仿宋_GBK" w:hAnsi="方正仿宋_GBK" w:eastAsia="方正仿宋_GBK" w:cs="方正仿宋_GBK"/>
          <w:b/>
          <w:bCs/>
          <w:color w:val="auto"/>
          <w:sz w:val="28"/>
          <w:szCs w:val="28"/>
          <w:lang w:val="en-US" w:eastAsia="zh-CN"/>
        </w:rPr>
        <w:t>（供应商须提供针对本项内容的承诺函并加盖公章）</w:t>
      </w:r>
    </w:p>
    <w:p w14:paraId="4612A010">
      <w:pPr>
        <w:numPr>
          <w:ilvl w:val="0"/>
          <w:numId w:val="0"/>
        </w:numPr>
        <w:spacing w:line="560" w:lineRule="exact"/>
        <w:ind w:firstLine="562" w:firstLineChars="200"/>
        <w:rPr>
          <w:rFonts w:hint="eastAsia" w:ascii="方正仿宋_GBK" w:hAnsi="方正仿宋_GBK" w:eastAsia="方正仿宋_GBK" w:cs="方正仿宋_GBK"/>
          <w:b/>
          <w:bCs/>
          <w:color w:val="auto"/>
          <w:kern w:val="2"/>
          <w:sz w:val="28"/>
          <w:szCs w:val="28"/>
          <w:lang w:val="en-US" w:eastAsia="zh-CN" w:bidi="ar-SA"/>
        </w:rPr>
      </w:pPr>
      <w:bookmarkStart w:id="0" w:name="_Toc24204"/>
      <w:r>
        <w:rPr>
          <w:rFonts w:hint="eastAsia" w:ascii="方正仿宋_GBK" w:hAnsi="方正仿宋_GBK" w:eastAsia="方正仿宋_GBK" w:cs="方正仿宋_GBK"/>
          <w:b/>
          <w:bCs/>
          <w:color w:val="auto"/>
          <w:kern w:val="2"/>
          <w:sz w:val="28"/>
          <w:szCs w:val="28"/>
          <w:lang w:val="en-US" w:eastAsia="zh-CN" w:bidi="ar-SA"/>
        </w:rPr>
        <w:t>（五）商务要求</w:t>
      </w:r>
      <w:bookmarkEnd w:id="0"/>
      <w:r>
        <w:rPr>
          <w:rFonts w:hint="eastAsia" w:ascii="方正仿宋_GBK" w:hAnsi="方正仿宋_GBK" w:eastAsia="方正仿宋_GBK" w:cs="方正仿宋_GBK"/>
          <w:b/>
          <w:bCs/>
          <w:color w:val="auto"/>
          <w:kern w:val="2"/>
          <w:sz w:val="28"/>
          <w:szCs w:val="28"/>
          <w:lang w:val="en-US" w:eastAsia="zh-CN" w:bidi="ar-SA"/>
        </w:rPr>
        <w:t>（实质性要求）</w:t>
      </w:r>
    </w:p>
    <w:p w14:paraId="2D0E3EB9">
      <w:pPr>
        <w:pStyle w:val="4"/>
        <w:pageBreakBefore w:val="0"/>
        <w:widowControl w:val="0"/>
        <w:kinsoku/>
        <w:wordWrap/>
        <w:overflowPunct/>
        <w:topLinePunct w:val="0"/>
        <w:autoSpaceDE/>
        <w:autoSpaceDN/>
        <w:bidi w:val="0"/>
        <w:adjustRightInd/>
        <w:snapToGrid/>
        <w:spacing w:before="0" w:after="0" w:line="560" w:lineRule="exact"/>
        <w:ind w:firstLine="560" w:firstLineChars="200"/>
        <w:jc w:val="both"/>
        <w:textAlignment w:val="auto"/>
        <w:outlineLvl w:val="9"/>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1、服务地点：采购人指定的24个站点。  </w:t>
      </w:r>
    </w:p>
    <w:p w14:paraId="3028AF6D">
      <w:pPr>
        <w:pStyle w:val="4"/>
        <w:pageBreakBefore w:val="0"/>
        <w:widowControl w:val="0"/>
        <w:kinsoku/>
        <w:wordWrap/>
        <w:overflowPunct/>
        <w:topLinePunct w:val="0"/>
        <w:autoSpaceDE/>
        <w:autoSpaceDN/>
        <w:bidi w:val="0"/>
        <w:adjustRightInd/>
        <w:snapToGrid/>
        <w:spacing w:before="0" w:after="0" w:line="560" w:lineRule="exact"/>
        <w:ind w:firstLine="560" w:firstLineChars="200"/>
        <w:jc w:val="both"/>
        <w:textAlignment w:val="auto"/>
        <w:outlineLvl w:val="9"/>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2、服务期限：合同签订后30天内。</w:t>
      </w:r>
    </w:p>
    <w:p w14:paraId="3E7763B1">
      <w:pPr>
        <w:pStyle w:val="4"/>
        <w:pageBreakBefore w:val="0"/>
        <w:widowControl w:val="0"/>
        <w:kinsoku/>
        <w:wordWrap/>
        <w:overflowPunct/>
        <w:topLinePunct w:val="0"/>
        <w:autoSpaceDE/>
        <w:autoSpaceDN/>
        <w:bidi w:val="0"/>
        <w:adjustRightInd/>
        <w:snapToGrid/>
        <w:spacing w:before="0" w:after="0" w:line="560" w:lineRule="exact"/>
        <w:ind w:firstLine="560" w:firstLineChars="200"/>
        <w:jc w:val="both"/>
        <w:textAlignment w:val="auto"/>
        <w:outlineLvl w:val="9"/>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3、付款方式：本项目合同签订后10日内支付合同总额的20%作为预付款，验收合格后支付合同总额的75%，2029年汛期前支付合同总金额的5%。</w:t>
      </w:r>
    </w:p>
    <w:p w14:paraId="69D8F2BC">
      <w:pPr>
        <w:pStyle w:val="4"/>
        <w:pageBreakBefore w:val="0"/>
        <w:widowControl w:val="0"/>
        <w:kinsoku/>
        <w:wordWrap/>
        <w:overflowPunct/>
        <w:topLinePunct w:val="0"/>
        <w:autoSpaceDE/>
        <w:autoSpaceDN/>
        <w:bidi w:val="0"/>
        <w:adjustRightInd/>
        <w:snapToGrid/>
        <w:spacing w:before="0" w:after="0" w:line="560" w:lineRule="exact"/>
        <w:ind w:firstLine="560" w:firstLineChars="200"/>
        <w:jc w:val="both"/>
        <w:textAlignment w:val="auto"/>
        <w:outlineLvl w:val="9"/>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注：采购人付款前，成交供应商须向采购人出具核发有效完整的增值税发票及凭证资料后进行支付结算，付款方式均采用公对公银行转账，成交供应商接受转账的开户信息以合同载明的为准。</w:t>
      </w:r>
    </w:p>
    <w:p w14:paraId="732A52D0">
      <w:pPr>
        <w:pStyle w:val="4"/>
        <w:pageBreakBefore w:val="0"/>
        <w:widowControl w:val="0"/>
        <w:kinsoku/>
        <w:wordWrap/>
        <w:overflowPunct/>
        <w:topLinePunct w:val="0"/>
        <w:autoSpaceDE/>
        <w:autoSpaceDN/>
        <w:bidi w:val="0"/>
        <w:adjustRightInd/>
        <w:snapToGrid/>
        <w:spacing w:before="0" w:after="0" w:line="560" w:lineRule="exact"/>
        <w:ind w:firstLine="560" w:firstLineChars="200"/>
        <w:jc w:val="both"/>
        <w:textAlignment w:val="auto"/>
        <w:outlineLvl w:val="9"/>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4、报价说明：报价包含水标尺、警示标识牌制作、人工、安装、服务、拆旧费、保险、税费及完成本项目的所有费用及采购文件规定的其他费用，采购人不再另行支付其他任何费用。</w:t>
      </w:r>
    </w:p>
    <w:p w14:paraId="08AE8AE2">
      <w:pPr>
        <w:pStyle w:val="4"/>
        <w:pageBreakBefore w:val="0"/>
        <w:widowControl w:val="0"/>
        <w:kinsoku/>
        <w:wordWrap/>
        <w:overflowPunct/>
        <w:topLinePunct w:val="0"/>
        <w:autoSpaceDE/>
        <w:autoSpaceDN/>
        <w:bidi w:val="0"/>
        <w:adjustRightInd/>
        <w:snapToGrid/>
        <w:spacing w:before="0" w:after="0" w:line="560" w:lineRule="exact"/>
        <w:ind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5、验收标准和方法：验收由采购人组织，成交供应商参与，参照《财政部关于进一步加强政府采购需求和履约验收管理的指导意见的通知》（财库〔2016〕205号）、《巴中市财政局关于进一步加强政府采购项目合同履约验收管理工作的通知》（巴财采〔2021〕21号）的规定，采购文件的要求和响应文件及合同承诺的内容进行验收。</w:t>
      </w:r>
    </w:p>
    <w:p w14:paraId="09BF6947">
      <w:pPr>
        <w:pStyle w:val="4"/>
        <w:pageBreakBefore w:val="0"/>
        <w:widowControl w:val="0"/>
        <w:kinsoku/>
        <w:wordWrap/>
        <w:overflowPunct/>
        <w:topLinePunct w:val="0"/>
        <w:autoSpaceDE/>
        <w:autoSpaceDN/>
        <w:bidi w:val="0"/>
        <w:adjustRightInd/>
        <w:snapToGrid/>
        <w:spacing w:before="0" w:after="0" w:line="560" w:lineRule="exact"/>
        <w:ind w:firstLine="560" w:firstLineChars="200"/>
        <w:jc w:val="both"/>
        <w:textAlignment w:val="auto"/>
        <w:outlineLvl w:val="9"/>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6、安全责任：本项目建设及服务过程的所有安全责任（包含但不限于服务人员的人身、财产安全等）由成交方全部负责，采购人不承担任何责任。</w:t>
      </w:r>
      <w:r>
        <w:rPr>
          <w:rFonts w:hint="eastAsia" w:ascii="方正仿宋_GBK" w:hAnsi="方正仿宋_GBK" w:eastAsia="方正仿宋_GBK" w:cs="方正仿宋_GBK"/>
          <w:b/>
          <w:bCs/>
          <w:color w:val="auto"/>
          <w:sz w:val="28"/>
          <w:szCs w:val="28"/>
          <w:lang w:val="en-US" w:eastAsia="zh-CN"/>
        </w:rPr>
        <w:t>（供应商须提供针对本项内容的承诺函并加盖公章）</w:t>
      </w:r>
    </w:p>
    <w:p w14:paraId="6C225F4A">
      <w:r>
        <w:rPr>
          <w:rFonts w:hint="eastAsia" w:ascii="方正仿宋_GBK" w:hAnsi="方正仿宋_GBK" w:eastAsia="方正仿宋_GBK" w:cs="方正仿宋_GBK"/>
          <w:b w:val="0"/>
          <w:bCs w:val="0"/>
          <w:color w:val="auto"/>
          <w:sz w:val="28"/>
          <w:szCs w:val="28"/>
          <w:lang w:val="en-US" w:eastAsia="zh-CN"/>
        </w:rPr>
        <w:t>7、其他要求：签订合同时约定执行。</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C071D"/>
    <w:rsid w:val="322C0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outlineLvl w:val="0"/>
    </w:pPr>
    <w:rPr>
      <w:rFonts w:eastAsia="方正仿宋_GBK" w:cs="方正仿宋_GBK"/>
      <w:b/>
      <w:kern w:val="44"/>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eastAsia="宋体" w:cs="Times New Roman"/>
      <w:szCs w:val="24"/>
    </w:rPr>
  </w:style>
  <w:style w:type="paragraph" w:styleId="4">
    <w:name w:val="Title"/>
    <w:basedOn w:val="1"/>
    <w:next w:val="1"/>
    <w:qFormat/>
    <w:uiPriority w:val="99"/>
    <w:pPr>
      <w:spacing w:before="240" w:after="60"/>
      <w:jc w:val="center"/>
      <w:outlineLvl w:val="0"/>
    </w:pPr>
    <w:rPr>
      <w:rFonts w:ascii="Cambria" w:hAnsi="Cambria" w:cs="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2026-01-21T07:21:00Z</dcterms:created>
  <dc:creator> 羊羊</dc:creator>
  <cp:lastModifiedBy> 羊羊</cp:lastModifiedBy>
  <dcterms:modified xsi:type="dcterms:W3CDTF">2026-01-21T07:21:19Z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B3FC6761E9E54B71B96CB459B1EB3E28_11</vt:lpwstr>
  </property>
  <property fmtid="{D5CDD505-2E9C-101B-9397-08002B2CF9AE}" pid="4" name="KSOTemplateDocerSaveRecord">
    <vt:lpwstr>eyJoZGlkIjoiZmEyMzYxZDNkOWExNWU4NTNlMDgyNGMzMzA4ZmZlZDMiLCJ1c2VySWQiOiI5NTMxNjk3NzMifQ==</vt:lpwstr>
  </property>
</Properties>
</file>