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15914">
      <w:pPr>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技术、服务、合同条款要求</w:t>
      </w:r>
    </w:p>
    <w:tbl>
      <w:tblPr>
        <w:tblStyle w:val="5"/>
        <w:tblW w:w="8826" w:type="dxa"/>
        <w:jc w:val="center"/>
        <w:tblLayout w:type="fixed"/>
        <w:tblCellMar>
          <w:top w:w="0" w:type="dxa"/>
          <w:left w:w="108" w:type="dxa"/>
          <w:bottom w:w="0" w:type="dxa"/>
          <w:right w:w="108" w:type="dxa"/>
        </w:tblCellMar>
      </w:tblPr>
      <w:tblGrid>
        <w:gridCol w:w="963"/>
        <w:gridCol w:w="2767"/>
        <w:gridCol w:w="5096"/>
      </w:tblGrid>
      <w:tr w14:paraId="5D70D5AC">
        <w:tblPrEx>
          <w:tblCellMar>
            <w:top w:w="0" w:type="dxa"/>
            <w:left w:w="108" w:type="dxa"/>
            <w:bottom w:w="0" w:type="dxa"/>
            <w:right w:w="108" w:type="dxa"/>
          </w:tblCellMar>
        </w:tblPrEx>
        <w:trPr>
          <w:trHeight w:val="71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1287C72">
            <w:pPr>
              <w:spacing w:line="360" w:lineRule="auto"/>
              <w:ind w:right="21" w:rightChars="1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序号</w:t>
            </w:r>
          </w:p>
        </w:tc>
        <w:tc>
          <w:tcPr>
            <w:tcW w:w="2767" w:type="dxa"/>
            <w:tcBorders>
              <w:top w:val="single" w:color="auto" w:sz="4" w:space="0"/>
              <w:left w:val="nil"/>
              <w:bottom w:val="single" w:color="auto" w:sz="4" w:space="0"/>
              <w:right w:val="single" w:color="auto" w:sz="4" w:space="0"/>
            </w:tcBorders>
            <w:vAlign w:val="center"/>
          </w:tcPr>
          <w:p w14:paraId="084152B6">
            <w:pPr>
              <w:spacing w:line="360" w:lineRule="auto"/>
              <w:ind w:right="21" w:rightChars="1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项目</w:t>
            </w:r>
          </w:p>
        </w:tc>
        <w:tc>
          <w:tcPr>
            <w:tcW w:w="5096" w:type="dxa"/>
            <w:tcBorders>
              <w:top w:val="single" w:color="auto" w:sz="4" w:space="0"/>
              <w:left w:val="nil"/>
              <w:bottom w:val="single" w:color="auto" w:sz="4" w:space="0"/>
              <w:right w:val="single" w:color="auto" w:sz="4" w:space="0"/>
            </w:tcBorders>
            <w:vAlign w:val="center"/>
          </w:tcPr>
          <w:p w14:paraId="4884CECC">
            <w:pPr>
              <w:spacing w:line="360" w:lineRule="auto"/>
              <w:ind w:right="21" w:rightChars="10"/>
              <w:jc w:val="center"/>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要求</w:t>
            </w:r>
          </w:p>
        </w:tc>
      </w:tr>
      <w:tr w14:paraId="7B5171D0">
        <w:tblPrEx>
          <w:tblCellMar>
            <w:top w:w="0" w:type="dxa"/>
            <w:left w:w="108" w:type="dxa"/>
            <w:bottom w:w="0" w:type="dxa"/>
            <w:right w:w="108" w:type="dxa"/>
          </w:tblCellMar>
        </w:tblPrEx>
        <w:trPr>
          <w:trHeight w:val="57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C3D51A4">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2767" w:type="dxa"/>
            <w:tcBorders>
              <w:top w:val="single" w:color="auto" w:sz="4" w:space="0"/>
              <w:left w:val="nil"/>
              <w:bottom w:val="single" w:color="auto" w:sz="4" w:space="0"/>
              <w:right w:val="single" w:color="auto" w:sz="4" w:space="0"/>
            </w:tcBorders>
            <w:vAlign w:val="center"/>
          </w:tcPr>
          <w:p w14:paraId="707671D8">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项目负责人（项目经理）</w:t>
            </w:r>
          </w:p>
        </w:tc>
        <w:tc>
          <w:tcPr>
            <w:tcW w:w="5096" w:type="dxa"/>
            <w:tcBorders>
              <w:top w:val="single" w:color="auto" w:sz="4" w:space="0"/>
              <w:left w:val="nil"/>
              <w:bottom w:val="single" w:color="auto" w:sz="4" w:space="0"/>
              <w:right w:val="single" w:color="auto" w:sz="4" w:space="0"/>
            </w:tcBorders>
            <w:vAlign w:val="center"/>
          </w:tcPr>
          <w:p w14:paraId="2AEB4FE7">
            <w:pPr>
              <w:spacing w:line="360" w:lineRule="auto"/>
              <w:ind w:right="-82" w:rightChars="-39" w:firstLine="1920" w:firstLineChars="8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姓名</w:t>
            </w:r>
            <w:r>
              <w:rPr>
                <w:rFonts w:hint="eastAsia" w:ascii="方正仿宋_GBK" w:hAnsi="方正仿宋_GBK" w:eastAsia="方正仿宋_GBK" w:cs="方正仿宋_GBK"/>
                <w:color w:val="000000" w:themeColor="text1"/>
                <w:sz w:val="24"/>
                <w:szCs w:val="24"/>
                <w:u w:val="none"/>
                <w14:textFill>
                  <w14:solidFill>
                    <w14:schemeClr w14:val="tx1"/>
                  </w14:solidFill>
                </w14:textFill>
              </w:rPr>
              <w:t>：</w:t>
            </w:r>
            <w:r>
              <w:rPr>
                <w:rFonts w:hint="eastAsia" w:ascii="方正仿宋_GBK" w:hAnsi="方正仿宋_GBK" w:eastAsia="方正仿宋_GBK" w:cs="方正仿宋_GBK"/>
                <w:color w:val="000000" w:themeColor="text1"/>
                <w:sz w:val="24"/>
                <w:szCs w:val="24"/>
                <w:u w:val="single"/>
                <w14:textFill>
                  <w14:solidFill>
                    <w14:schemeClr w14:val="tx1"/>
                  </w14:solidFill>
                </w14:textFill>
              </w:rPr>
              <w:t xml:space="preserve">    </w:t>
            </w:r>
          </w:p>
        </w:tc>
      </w:tr>
      <w:tr w14:paraId="745A2ACB">
        <w:tblPrEx>
          <w:tblCellMar>
            <w:top w:w="0" w:type="dxa"/>
            <w:left w:w="108" w:type="dxa"/>
            <w:bottom w:w="0" w:type="dxa"/>
            <w:right w:w="108" w:type="dxa"/>
          </w:tblCellMar>
        </w:tblPrEx>
        <w:trPr>
          <w:trHeight w:val="71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66378B86">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2767" w:type="dxa"/>
            <w:tcBorders>
              <w:top w:val="single" w:color="auto" w:sz="4" w:space="0"/>
              <w:left w:val="nil"/>
              <w:bottom w:val="single" w:color="auto" w:sz="4" w:space="0"/>
              <w:right w:val="single" w:color="auto" w:sz="4" w:space="0"/>
            </w:tcBorders>
            <w:vAlign w:val="center"/>
          </w:tcPr>
          <w:p w14:paraId="551CCB6D">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工期</w:t>
            </w:r>
          </w:p>
        </w:tc>
        <w:tc>
          <w:tcPr>
            <w:tcW w:w="5096" w:type="dxa"/>
            <w:tcBorders>
              <w:top w:val="single" w:color="auto" w:sz="4" w:space="0"/>
              <w:left w:val="nil"/>
              <w:bottom w:val="single" w:color="auto" w:sz="4" w:space="0"/>
              <w:right w:val="single" w:color="auto" w:sz="4" w:space="0"/>
            </w:tcBorders>
            <w:vAlign w:val="center"/>
          </w:tcPr>
          <w:p w14:paraId="7537BABA">
            <w:pPr>
              <w:spacing w:line="360" w:lineRule="auto"/>
              <w:ind w:right="-82" w:rightChars="-39"/>
              <w:jc w:val="center"/>
              <w:rPr>
                <w:rFonts w:ascii="方正仿宋_GBK" w:hAnsi="方正仿宋_GBK" w:eastAsia="方正仿宋_GBK" w:cs="方正仿宋_GBK"/>
                <w:color w:val="000000" w:themeColor="text1"/>
                <w:sz w:val="24"/>
                <w:szCs w:val="24"/>
                <w:u w:val="single"/>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60个日历</w:t>
            </w:r>
            <w:r>
              <w:rPr>
                <w:rFonts w:hint="eastAsia" w:ascii="方正仿宋_GBK" w:hAnsi="方正仿宋_GBK" w:eastAsia="方正仿宋_GBK" w:cs="方正仿宋_GBK"/>
                <w:color w:val="000000" w:themeColor="text1"/>
                <w:sz w:val="24"/>
                <w:szCs w:val="24"/>
                <w14:textFill>
                  <w14:solidFill>
                    <w14:schemeClr w14:val="tx1"/>
                  </w14:solidFill>
                </w14:textFill>
              </w:rPr>
              <w:t>天</w:t>
            </w:r>
          </w:p>
        </w:tc>
      </w:tr>
      <w:tr w14:paraId="540E573E">
        <w:tblPrEx>
          <w:tblCellMar>
            <w:top w:w="0" w:type="dxa"/>
            <w:left w:w="108" w:type="dxa"/>
            <w:bottom w:w="0" w:type="dxa"/>
            <w:right w:w="108" w:type="dxa"/>
          </w:tblCellMar>
        </w:tblPrEx>
        <w:trPr>
          <w:trHeight w:val="55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59AA55D">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2767" w:type="dxa"/>
            <w:tcBorders>
              <w:top w:val="single" w:color="auto" w:sz="4" w:space="0"/>
              <w:left w:val="nil"/>
              <w:bottom w:val="single" w:color="auto" w:sz="4" w:space="0"/>
              <w:right w:val="single" w:color="auto" w:sz="4" w:space="0"/>
            </w:tcBorders>
            <w:vAlign w:val="center"/>
          </w:tcPr>
          <w:p w14:paraId="7E750B1B">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缺陷责任期</w:t>
            </w:r>
          </w:p>
        </w:tc>
        <w:tc>
          <w:tcPr>
            <w:tcW w:w="5096" w:type="dxa"/>
            <w:tcBorders>
              <w:top w:val="single" w:color="auto" w:sz="4" w:space="0"/>
              <w:left w:val="nil"/>
              <w:bottom w:val="single" w:color="auto" w:sz="4" w:space="0"/>
              <w:right w:val="single" w:color="auto" w:sz="4" w:space="0"/>
            </w:tcBorders>
            <w:vAlign w:val="center"/>
          </w:tcPr>
          <w:p w14:paraId="6477536C">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u w:val="single"/>
                <w14:textFill>
                  <w14:solidFill>
                    <w14:schemeClr w14:val="tx1"/>
                  </w14:solidFill>
                </w14:textFill>
              </w:rPr>
              <w:t>12</w:t>
            </w:r>
            <w:r>
              <w:rPr>
                <w:rFonts w:hint="eastAsia" w:ascii="方正仿宋_GBK" w:hAnsi="方正仿宋_GBK" w:eastAsia="方正仿宋_GBK" w:cs="方正仿宋_GBK"/>
                <w:color w:val="000000" w:themeColor="text1"/>
                <w:sz w:val="24"/>
                <w:szCs w:val="24"/>
                <w14:textFill>
                  <w14:solidFill>
                    <w14:schemeClr w14:val="tx1"/>
                  </w14:solidFill>
                </w14:textFill>
              </w:rPr>
              <w:t>个月</w:t>
            </w:r>
          </w:p>
        </w:tc>
      </w:tr>
      <w:tr w14:paraId="55EEDBFF">
        <w:tblPrEx>
          <w:tblCellMar>
            <w:top w:w="0" w:type="dxa"/>
            <w:left w:w="108" w:type="dxa"/>
            <w:bottom w:w="0" w:type="dxa"/>
            <w:right w:w="108" w:type="dxa"/>
          </w:tblCellMar>
        </w:tblPrEx>
        <w:trPr>
          <w:trHeight w:val="45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901FC04">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p>
        </w:tc>
        <w:tc>
          <w:tcPr>
            <w:tcW w:w="2767" w:type="dxa"/>
            <w:tcBorders>
              <w:top w:val="single" w:color="auto" w:sz="4" w:space="0"/>
              <w:left w:val="nil"/>
              <w:bottom w:val="single" w:color="auto" w:sz="4" w:space="0"/>
              <w:right w:val="single" w:color="auto" w:sz="4" w:space="0"/>
            </w:tcBorders>
            <w:vAlign w:val="center"/>
          </w:tcPr>
          <w:p w14:paraId="0EAD166B">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分包</w:t>
            </w:r>
          </w:p>
        </w:tc>
        <w:tc>
          <w:tcPr>
            <w:tcW w:w="5096" w:type="dxa"/>
            <w:tcBorders>
              <w:top w:val="single" w:color="auto" w:sz="4" w:space="0"/>
              <w:left w:val="nil"/>
              <w:bottom w:val="single" w:color="auto" w:sz="4" w:space="0"/>
              <w:right w:val="single" w:color="auto" w:sz="4" w:space="0"/>
            </w:tcBorders>
            <w:vAlign w:val="center"/>
          </w:tcPr>
          <w:p w14:paraId="32D1850E">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不允许</w:t>
            </w:r>
          </w:p>
        </w:tc>
      </w:tr>
      <w:tr w14:paraId="033EA2FA">
        <w:tblPrEx>
          <w:tblCellMar>
            <w:top w:w="0" w:type="dxa"/>
            <w:left w:w="108" w:type="dxa"/>
            <w:bottom w:w="0" w:type="dxa"/>
            <w:right w:w="108" w:type="dxa"/>
          </w:tblCellMar>
        </w:tblPrEx>
        <w:trPr>
          <w:trHeight w:val="53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36567B3">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2767" w:type="dxa"/>
            <w:tcBorders>
              <w:top w:val="single" w:color="auto" w:sz="4" w:space="0"/>
              <w:left w:val="nil"/>
              <w:bottom w:val="single" w:color="auto" w:sz="4" w:space="0"/>
              <w:right w:val="single" w:color="auto" w:sz="4" w:space="0"/>
            </w:tcBorders>
            <w:vAlign w:val="center"/>
          </w:tcPr>
          <w:p w14:paraId="06D5F9A9">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价格调整</w:t>
            </w:r>
          </w:p>
        </w:tc>
        <w:tc>
          <w:tcPr>
            <w:tcW w:w="5096" w:type="dxa"/>
            <w:tcBorders>
              <w:top w:val="single" w:color="auto" w:sz="4" w:space="0"/>
              <w:left w:val="nil"/>
              <w:bottom w:val="single" w:color="auto" w:sz="4" w:space="0"/>
              <w:right w:val="single" w:color="auto" w:sz="4" w:space="0"/>
            </w:tcBorders>
            <w:vAlign w:val="center"/>
          </w:tcPr>
          <w:p w14:paraId="7F5CBDC8">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见合同条款</w:t>
            </w:r>
          </w:p>
        </w:tc>
      </w:tr>
      <w:tr w14:paraId="1643114B">
        <w:tblPrEx>
          <w:tblCellMar>
            <w:top w:w="0" w:type="dxa"/>
            <w:left w:w="108" w:type="dxa"/>
            <w:bottom w:w="0" w:type="dxa"/>
            <w:right w:w="108" w:type="dxa"/>
          </w:tblCellMar>
        </w:tblPrEx>
        <w:trPr>
          <w:trHeight w:val="54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C35A29A">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6</w:t>
            </w:r>
          </w:p>
        </w:tc>
        <w:tc>
          <w:tcPr>
            <w:tcW w:w="2767" w:type="dxa"/>
            <w:tcBorders>
              <w:top w:val="single" w:color="auto" w:sz="4" w:space="0"/>
              <w:left w:val="nil"/>
              <w:bottom w:val="single" w:color="auto" w:sz="4" w:space="0"/>
              <w:right w:val="single" w:color="auto" w:sz="4" w:space="0"/>
            </w:tcBorders>
            <w:vAlign w:val="center"/>
          </w:tcPr>
          <w:p w14:paraId="7F0A0361">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履约保证金</w:t>
            </w:r>
          </w:p>
        </w:tc>
        <w:tc>
          <w:tcPr>
            <w:tcW w:w="5096" w:type="dxa"/>
            <w:tcBorders>
              <w:top w:val="single" w:color="auto" w:sz="4" w:space="0"/>
              <w:left w:val="nil"/>
              <w:bottom w:val="single" w:color="auto" w:sz="4" w:space="0"/>
              <w:right w:val="single" w:color="auto" w:sz="4" w:space="0"/>
            </w:tcBorders>
            <w:vAlign w:val="center"/>
          </w:tcPr>
          <w:p w14:paraId="10C03B79">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不收取</w:t>
            </w:r>
          </w:p>
        </w:tc>
      </w:tr>
      <w:tr w14:paraId="26221D4D">
        <w:tblPrEx>
          <w:tblCellMar>
            <w:top w:w="0" w:type="dxa"/>
            <w:left w:w="108" w:type="dxa"/>
            <w:bottom w:w="0" w:type="dxa"/>
            <w:right w:w="108" w:type="dxa"/>
          </w:tblCellMar>
        </w:tblPrEx>
        <w:trPr>
          <w:trHeight w:val="54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4876182">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w:t>
            </w:r>
          </w:p>
        </w:tc>
        <w:tc>
          <w:tcPr>
            <w:tcW w:w="2767" w:type="dxa"/>
            <w:tcBorders>
              <w:top w:val="single" w:color="auto" w:sz="4" w:space="0"/>
              <w:left w:val="nil"/>
              <w:bottom w:val="single" w:color="auto" w:sz="4" w:space="0"/>
              <w:right w:val="single" w:color="auto" w:sz="4" w:space="0"/>
            </w:tcBorders>
            <w:vAlign w:val="center"/>
          </w:tcPr>
          <w:p w14:paraId="5D94F619">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农民工工资保证金</w:t>
            </w:r>
          </w:p>
        </w:tc>
        <w:tc>
          <w:tcPr>
            <w:tcW w:w="5096" w:type="dxa"/>
            <w:tcBorders>
              <w:top w:val="single" w:color="auto" w:sz="4" w:space="0"/>
              <w:left w:val="nil"/>
              <w:bottom w:val="single" w:color="auto" w:sz="4" w:space="0"/>
              <w:right w:val="single" w:color="auto" w:sz="4" w:space="0"/>
            </w:tcBorders>
            <w:vAlign w:val="center"/>
          </w:tcPr>
          <w:p w14:paraId="3AD42EB4">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按照国家相关法律法规执行</w:t>
            </w:r>
          </w:p>
        </w:tc>
      </w:tr>
      <w:tr w14:paraId="25AB6A48">
        <w:tblPrEx>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5F1DD6B">
            <w:pPr>
              <w:spacing w:line="360" w:lineRule="auto"/>
              <w:ind w:right="21" w:rightChars="10"/>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2767" w:type="dxa"/>
            <w:tcBorders>
              <w:top w:val="single" w:color="auto" w:sz="4" w:space="0"/>
              <w:left w:val="nil"/>
              <w:bottom w:val="single" w:color="auto" w:sz="4" w:space="0"/>
              <w:right w:val="single" w:color="auto" w:sz="4" w:space="0"/>
            </w:tcBorders>
            <w:vAlign w:val="center"/>
          </w:tcPr>
          <w:p w14:paraId="77CAA72B">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付款方式</w:t>
            </w:r>
          </w:p>
        </w:tc>
        <w:tc>
          <w:tcPr>
            <w:tcW w:w="5096" w:type="dxa"/>
            <w:tcBorders>
              <w:top w:val="single" w:color="auto" w:sz="4" w:space="0"/>
              <w:left w:val="nil"/>
              <w:bottom w:val="single" w:color="auto" w:sz="4" w:space="0"/>
              <w:right w:val="single" w:color="auto" w:sz="4" w:space="0"/>
            </w:tcBorders>
            <w:vAlign w:val="center"/>
          </w:tcPr>
          <w:p w14:paraId="44C2645D">
            <w:pPr>
              <w:spacing w:line="360" w:lineRule="auto"/>
              <w:ind w:right="21" w:rightChars="10"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kern w:val="0"/>
                <w:sz w:val="24"/>
                <w:szCs w:val="24"/>
                <w:highlight w:val="none"/>
                <w:lang w:eastAsia="zh-CN"/>
              </w:rPr>
              <w:t>签订合同后五个工作日内预付合同款的40%，验收合格后五个工作日内支付合同款的55%，自审计结算通过后五个工作日内支付合同款的5%。</w:t>
            </w:r>
          </w:p>
        </w:tc>
      </w:tr>
      <w:tr w14:paraId="2EFFAA0A">
        <w:tblPrEx>
          <w:tblCellMar>
            <w:top w:w="0" w:type="dxa"/>
            <w:left w:w="108" w:type="dxa"/>
            <w:bottom w:w="0" w:type="dxa"/>
            <w:right w:w="108" w:type="dxa"/>
          </w:tblCellMar>
        </w:tblPrEx>
        <w:trPr>
          <w:trHeight w:val="54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A65508F">
            <w:pPr>
              <w:spacing w:line="360" w:lineRule="auto"/>
              <w:ind w:right="21" w:rightChars="10"/>
              <w:jc w:val="cente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tc>
        <w:tc>
          <w:tcPr>
            <w:tcW w:w="2767" w:type="dxa"/>
            <w:tcBorders>
              <w:top w:val="single" w:color="auto" w:sz="4" w:space="0"/>
              <w:left w:val="nil"/>
              <w:bottom w:val="single" w:color="auto" w:sz="4" w:space="0"/>
              <w:right w:val="single" w:color="auto" w:sz="4" w:space="0"/>
            </w:tcBorders>
            <w:vAlign w:val="center"/>
          </w:tcPr>
          <w:p w14:paraId="2E8F5B1D">
            <w:pPr>
              <w:spacing w:line="360" w:lineRule="auto"/>
              <w:ind w:right="21" w:rightChars="10"/>
              <w:jc w:val="center"/>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p>
        </w:tc>
        <w:tc>
          <w:tcPr>
            <w:tcW w:w="5096" w:type="dxa"/>
            <w:tcBorders>
              <w:top w:val="single" w:color="auto" w:sz="4" w:space="0"/>
              <w:left w:val="nil"/>
              <w:bottom w:val="single" w:color="auto" w:sz="4" w:space="0"/>
              <w:right w:val="single" w:color="auto" w:sz="4" w:space="0"/>
            </w:tcBorders>
            <w:vAlign w:val="center"/>
          </w:tcPr>
          <w:p w14:paraId="73143ADF">
            <w:pPr>
              <w:spacing w:line="360" w:lineRule="auto"/>
              <w:jc w:val="center"/>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14:paraId="6FC8154F">
      <w:pPr>
        <w:widowControl/>
        <w:autoSpaceDE w:val="0"/>
        <w:snapToGrid w:val="0"/>
        <w:spacing w:line="360" w:lineRule="auto"/>
        <w:ind w:firstLine="562" w:firstLineChars="200"/>
        <w:jc w:val="left"/>
        <w:rPr>
          <w:rFonts w:ascii="方正仿宋_GBK" w:hAnsi="方正仿宋_GBK" w:eastAsia="方正仿宋_GBK" w:cs="方正仿宋_GBK"/>
          <w:b/>
          <w:color w:val="000000" w:themeColor="text1"/>
          <w:sz w:val="28"/>
          <w:szCs w:val="28"/>
          <w14:textFill>
            <w14:solidFill>
              <w14:schemeClr w14:val="tx1"/>
            </w14:solidFill>
          </w14:textFill>
        </w:rPr>
      </w:pPr>
    </w:p>
    <w:p w14:paraId="409D2D2B">
      <w:pPr>
        <w:widowControl/>
        <w:autoSpaceDE w:val="0"/>
        <w:snapToGrid w:val="0"/>
        <w:spacing w:line="360" w:lineRule="auto"/>
        <w:ind w:firstLine="560" w:firstLineChars="2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23956875">
      <w:pPr>
        <w:widowControl/>
        <w:autoSpaceDE w:val="0"/>
        <w:snapToGrid w:val="0"/>
        <w:spacing w:line="360" w:lineRule="auto"/>
        <w:ind w:firstLine="560" w:firstLineChars="20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8"/>
          <w:szCs w:val="28"/>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供应商针对本项目的施工，必须达到国家及行业现行技术规范标准，符合国家及行业验收合格标准。</w:t>
      </w:r>
    </w:p>
    <w:p w14:paraId="557B395E">
      <w:pPr>
        <w:autoSpaceDE w:val="0"/>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4.针对本项目的其他技术服务要求：</w:t>
      </w:r>
      <w:r>
        <w:rPr>
          <w:rFonts w:hint="eastAsia" w:ascii="方正仿宋_GB2312" w:hAnsi="方正仿宋_GB2312" w:eastAsia="方正仿宋_GB2312" w:cs="方正仿宋_GB2312"/>
          <w:color w:val="000000"/>
          <w:sz w:val="28"/>
          <w:szCs w:val="28"/>
        </w:rPr>
        <w:t>本项目</w:t>
      </w:r>
      <w:r>
        <w:rPr>
          <w:rFonts w:hint="eastAsia" w:ascii="方正仿宋_GB2312" w:hAnsi="方正仿宋_GB2312" w:eastAsia="方正仿宋_GB2312" w:cs="方正仿宋_GB2312"/>
          <w:color w:val="000000"/>
          <w:sz w:val="28"/>
          <w:szCs w:val="28"/>
          <w:lang w:val="en-US" w:eastAsia="zh-CN"/>
        </w:rPr>
        <w:t>凡因供应商自身原因引起的</w:t>
      </w:r>
      <w:r>
        <w:rPr>
          <w:rFonts w:hint="eastAsia" w:ascii="方正仿宋_GB2312" w:hAnsi="方正仿宋_GB2312" w:eastAsia="方正仿宋_GB2312" w:cs="方正仿宋_GB2312"/>
          <w:color w:val="000000"/>
          <w:sz w:val="28"/>
          <w:szCs w:val="28"/>
        </w:rPr>
        <w:t>工程安全责任(含事故)由成交供应商全部承担</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，与采购人无关，成交供应商在进场后须严格按照相关规范要求进行施工，并遵从科学、规范、合理意见。</w:t>
      </w:r>
    </w:p>
    <w:p w14:paraId="4CFD0ABA">
      <w:pPr>
        <w:autoSpaceDE w:val="0"/>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5.资料要求：验收合格后提供完整的符合国家现行要求竣工验收资料,竣工图纸还须提供纸质及电子版。</w:t>
      </w:r>
    </w:p>
    <w:p w14:paraId="53A30346">
      <w:pPr>
        <w:autoSpaceDE w:val="0"/>
        <w:snapToGri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6、供应商须严格执行中华人民共和国国家发展和改革委员会制定</w:t>
      </w:r>
      <w:r>
        <w:rPr>
          <w:rFonts w:hint="eastAsia" w:ascii="方正仿宋_GBK" w:hAnsi="方正仿宋_GBK" w:eastAsia="方正仿宋_GBK" w:cs="方正仿宋_GBK"/>
          <w:sz w:val="28"/>
          <w:szCs w:val="28"/>
          <w:lang w:val="en-US" w:eastAsia="zh-CN"/>
        </w:rPr>
        <w:t>以工代赈政策的相关要求：</w:t>
      </w:r>
    </w:p>
    <w:p w14:paraId="3F3B4BF3">
      <w:pPr>
        <w:keepNext w:val="0"/>
        <w:keepLines w:val="0"/>
        <w:pageBreakBefore w:val="0"/>
        <w:widowControl w:val="0"/>
        <w:kinsoku/>
        <w:wordWrap/>
        <w:overflowPunct/>
        <w:topLinePunct w:val="0"/>
        <w:autoSpaceDE/>
        <w:autoSpaceDN/>
        <w:bidi w:val="0"/>
        <w:adjustRightInd/>
        <w:snapToGrid/>
        <w:spacing w:line="595"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实施单位确定后，生态环境局指导项目乡镇与项目实施单位签订劳务组织方案协议，明确当地群众务工组织、技能培训的具体安排，并监督落实。按照组织方案协议，项目所在乡镇负责务工群众的组织工作。原则上，务工群众由村党支部召开党员代表会议(或指导村委会召开村民代表会)，采用举手表决(或不记名)方式民主确定人选，并公示，公示期不少于5个工作日。根据以工代赈政策要求，采取政府采购方式实施的推广以工代赈方式项目，每100万财政资金需吸纳务工群众不低于10人，其中重点群众人数不低于务工总人数的30%（脱贫群众、易迁群众、防返贫监测群众、返乡农民工、未就业家庭经济困难高校毕业生及其他低收入群众）。</w:t>
      </w:r>
    </w:p>
    <w:p w14:paraId="6A8655F4">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②</w:t>
      </w:r>
      <w:r>
        <w:rPr>
          <w:rFonts w:hint="eastAsia" w:ascii="方正仿宋_GBK" w:hAnsi="方正仿宋_GBK" w:eastAsia="方正仿宋_GBK" w:cs="方正仿宋_GBK"/>
          <w:sz w:val="28"/>
          <w:szCs w:val="28"/>
          <w:lang w:val="en-US" w:eastAsia="zh-CN"/>
        </w:rPr>
        <w:t>施工企业要主动与行业主管部门、业主单位共同协商，合理确定以工代赈劳务报酬标准，尽可能增加劳务报酬发放规模。根据以工代赈政策要求，采取政府采购方式实施的推广以工代赈方式项目，劳务报酬发放不低于财政投入的10%。</w:t>
      </w:r>
    </w:p>
    <w:p w14:paraId="69F78BD6">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③</w:t>
      </w:r>
      <w:r>
        <w:rPr>
          <w:rFonts w:hint="eastAsia" w:ascii="方正仿宋_GBK" w:hAnsi="方正仿宋_GBK" w:eastAsia="方正仿宋_GBK" w:cs="方正仿宋_GBK"/>
          <w:sz w:val="28"/>
          <w:szCs w:val="28"/>
          <w:lang w:val="en-US" w:eastAsia="zh-CN"/>
        </w:rPr>
        <w:t>项目开工前，施工单位开展好岗前技能培训、安全生产知识培训，制定好培训方案、留存好培训资料；实施过程中，施工单位要充分发挥专业技术人员的作用，利用项目施工现场、机械设备对务工群众开展劳动技能培训和安全生产培训，切实提高务工群众的劳动技能，在开展以岗代训是也要留存好照片，作为项目资料存档。</w:t>
      </w:r>
    </w:p>
    <w:p w14:paraId="1AA88B49">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④</w:t>
      </w:r>
      <w:r>
        <w:rPr>
          <w:rFonts w:hint="eastAsia" w:ascii="方正仿宋_GBK" w:hAnsi="方正仿宋_GBK" w:eastAsia="方正仿宋_GBK" w:cs="方正仿宋_GBK"/>
          <w:sz w:val="28"/>
          <w:szCs w:val="28"/>
          <w:lang w:val="en-US" w:eastAsia="zh-CN"/>
        </w:rPr>
        <w:t>项目施工单位要根据镇村确定的务工群众花名册，逐一与务工群众签订务工协议，行业主管部门、项目业主单位要监督施工企业与务工群众签订务工协议，确保务工群众的合法权益得到有效保护。</w:t>
      </w:r>
    </w:p>
    <w:p w14:paraId="28CEBA01">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562"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⑤</w:t>
      </w:r>
      <w:r>
        <w:rPr>
          <w:rFonts w:hint="eastAsia" w:ascii="方正仿宋_GBK" w:hAnsi="方正仿宋_GBK" w:eastAsia="方正仿宋_GBK" w:cs="方正仿宋_GBK"/>
          <w:sz w:val="28"/>
          <w:szCs w:val="28"/>
          <w:lang w:val="en-US" w:eastAsia="zh-CN"/>
        </w:rPr>
        <w:t>施工企业必须为务工群众购买务工保险，确保务工群众人身财产安全得到保障。</w:t>
      </w:r>
    </w:p>
    <w:p w14:paraId="2C4D8ECF">
      <w:pPr>
        <w:keepNext w:val="0"/>
        <w:keepLines w:val="0"/>
        <w:pageBreakBefore w:val="0"/>
        <w:widowControl w:val="0"/>
        <w:kinsoku/>
        <w:wordWrap/>
        <w:overflowPunct/>
        <w:topLinePunct w:val="0"/>
        <w:autoSpaceDE/>
        <w:autoSpaceDN/>
        <w:bidi w:val="0"/>
        <w:adjustRightInd/>
        <w:snapToGrid/>
        <w:spacing w:line="595" w:lineRule="exact"/>
        <w:ind w:left="0" w:firstLine="659"/>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⑥</w:t>
      </w:r>
      <w:r>
        <w:rPr>
          <w:rFonts w:hint="eastAsia" w:ascii="方正仿宋_GBK" w:hAnsi="方正仿宋_GBK" w:eastAsia="方正仿宋_GBK" w:cs="方正仿宋_GBK"/>
          <w:sz w:val="28"/>
          <w:szCs w:val="28"/>
          <w:lang w:val="en-US" w:eastAsia="zh-CN"/>
        </w:rPr>
        <w:t>施工企业根据工程建设内容、施工进度和技能要求，按照“人岗相适”的原则，对务工群众进行合适的务工岗位安排。</w:t>
      </w:r>
    </w:p>
    <w:p w14:paraId="1314F5F2">
      <w:pPr>
        <w:keepNext w:val="0"/>
        <w:keepLines w:val="0"/>
        <w:pageBreakBefore w:val="0"/>
        <w:widowControl w:val="0"/>
        <w:kinsoku/>
        <w:wordWrap/>
        <w:overflowPunct/>
        <w:topLinePunct w:val="0"/>
        <w:autoSpaceDE/>
        <w:autoSpaceDN/>
        <w:bidi w:val="0"/>
        <w:adjustRightInd/>
        <w:snapToGrid/>
        <w:spacing w:line="595" w:lineRule="exact"/>
        <w:ind w:left="0" w:firstLine="659"/>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⑦</w:t>
      </w:r>
      <w:r>
        <w:rPr>
          <w:rFonts w:hint="eastAsia" w:ascii="方正仿宋_GBK" w:hAnsi="方正仿宋_GBK" w:eastAsia="方正仿宋_GBK" w:cs="方正仿宋_GBK"/>
          <w:sz w:val="28"/>
          <w:szCs w:val="28"/>
          <w:lang w:val="en-US" w:eastAsia="zh-CN"/>
        </w:rPr>
        <w:t>施工企业要建立统一规范的用工名册和劳务报酬发放台账。</w:t>
      </w:r>
    </w:p>
    <w:p w14:paraId="1EF065C5">
      <w:pPr>
        <w:keepNext w:val="0"/>
        <w:keepLines w:val="0"/>
        <w:pageBreakBefore w:val="0"/>
        <w:widowControl w:val="0"/>
        <w:kinsoku/>
        <w:wordWrap/>
        <w:overflowPunct/>
        <w:topLinePunct w:val="0"/>
        <w:autoSpaceDE/>
        <w:autoSpaceDN/>
        <w:bidi w:val="0"/>
        <w:adjustRightInd/>
        <w:snapToGrid/>
        <w:spacing w:line="595" w:lineRule="exact"/>
        <w:ind w:left="0" w:firstLine="659"/>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⑧</w:t>
      </w:r>
      <w:r>
        <w:rPr>
          <w:rFonts w:hint="eastAsia" w:ascii="方正仿宋_GBK" w:hAnsi="方正仿宋_GBK" w:eastAsia="方正仿宋_GBK" w:cs="方正仿宋_GBK"/>
          <w:sz w:val="28"/>
          <w:szCs w:val="28"/>
          <w:lang w:val="en-US" w:eastAsia="zh-CN"/>
        </w:rPr>
        <w:t>全省以工代赈劳务报酬“一卡通”平台已建成，务工群众务工报酬供应商必须通过以工代赈“一卡通”平台按月足额发放。每月形成的劳务报酬发放工资表需经务工群众本人签字确定，并在项目村村委会进行公示，公示时间不少于5天。劳务报酬发放台账必须送县以工代赈办备案。</w:t>
      </w:r>
    </w:p>
    <w:p w14:paraId="287512DA">
      <w:pPr>
        <w:pStyle w:val="2"/>
        <w:rPr>
          <w:rFonts w:hint="eastAsia" w:ascii="方正仿宋_GB2312" w:hAnsi="方正仿宋_GB2312" w:eastAsia="方正仿宋_GB2312" w:cs="方正仿宋_GB2312"/>
          <w:color w:val="000000" w:themeColor="text1"/>
          <w14:textFill>
            <w14:solidFill>
              <w14:schemeClr w14:val="tx1"/>
            </w14:solidFill>
          </w14:textFill>
        </w:rPr>
      </w:pPr>
      <w:bookmarkStart w:id="0" w:name="_Toc2502"/>
      <w:bookmarkStart w:id="1" w:name="_Toc15483"/>
      <w:r>
        <w:rPr>
          <w:rFonts w:hint="eastAsia" w:ascii="方正仿宋_GB2312" w:hAnsi="方正仿宋_GB2312" w:eastAsia="方正仿宋_GB2312" w:cs="方正仿宋_GB2312"/>
          <w:color w:val="000000" w:themeColor="text1"/>
          <w14:textFill>
            <w14:solidFill>
              <w14:schemeClr w14:val="tx1"/>
            </w14:solidFill>
          </w14:textFill>
        </w:rPr>
        <w:t>四、商务要求</w:t>
      </w:r>
      <w:bookmarkEnd w:id="0"/>
      <w:bookmarkEnd w:id="1"/>
    </w:p>
    <w:p w14:paraId="2CA76A6A">
      <w:pPr>
        <w:autoSpaceDE w:val="0"/>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（一）报价要求</w:t>
      </w:r>
    </w:p>
    <w:p w14:paraId="35B4218D">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1、该项目为固定总价。</w:t>
      </w:r>
    </w:p>
    <w:p w14:paraId="094AC9BF">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2、所有报价一律以人民币报价。本项目不接受任何非人民币币种。</w:t>
      </w:r>
    </w:p>
    <w:p w14:paraId="2FFE49CE">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14:paraId="0182E58E">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4、供应商报价超过控制金额的，视为无效报价。</w:t>
      </w:r>
    </w:p>
    <w:p w14:paraId="739DA021">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（二）完工时间：合同签订后</w:t>
      </w:r>
      <w:r>
        <w:rPr>
          <w:rFonts w:hint="eastAsia" w:ascii="方正仿宋_GB2312" w:hAnsi="方正仿宋_GB2312" w:eastAsia="方正仿宋_GB2312" w:cs="方正仿宋_GB2312"/>
          <w:color w:val="000000" w:themeColor="text1"/>
          <w:sz w:val="28"/>
          <w:szCs w:val="28"/>
          <w:u w:val="single"/>
          <w:lang w:val="en-US" w:eastAsia="zh-CN"/>
          <w14:textFill>
            <w14:solidFill>
              <w14:schemeClr w14:val="tx1"/>
            </w14:solidFill>
          </w14:textFill>
        </w:rPr>
        <w:t>60</w:t>
      </w:r>
      <w:r>
        <w:rPr>
          <w:rFonts w:hint="eastAsia" w:ascii="方正仿宋_GB2312" w:hAnsi="方正仿宋_GB2312" w:eastAsia="方正仿宋_GB2312" w:cs="方正仿宋_GB2312"/>
          <w:color w:val="000000" w:themeColor="text1"/>
          <w:sz w:val="28"/>
          <w:szCs w:val="28"/>
          <w:u w:val="none"/>
          <w:lang w:val="en-US" w:eastAsia="zh-CN"/>
          <w14:textFill>
            <w14:solidFill>
              <w14:schemeClr w14:val="tx1"/>
            </w14:solidFill>
          </w14:textFill>
        </w:rPr>
        <w:t>个日历</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天内完成本工程，在签定合同后</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天内进场施工，不得延迟工期。</w:t>
      </w:r>
    </w:p>
    <w:p w14:paraId="54FEEB55">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（三）项目实施地点：采购人指定。</w:t>
      </w:r>
    </w:p>
    <w:p w14:paraId="5F05C947">
      <w:pPr>
        <w:spacing w:line="360" w:lineRule="auto"/>
        <w:ind w:firstLine="560" w:firstLineChars="20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（四）付款方式：</w:t>
      </w:r>
      <w:r>
        <w:rPr>
          <w:rFonts w:hint="eastAsia" w:ascii="方正仿宋_GBK" w:hAnsi="方正仿宋_GBK" w:eastAsia="方正仿宋_GBK" w:cs="方正仿宋_GBK"/>
          <w:kern w:val="0"/>
          <w:sz w:val="28"/>
          <w:szCs w:val="28"/>
          <w:highlight w:val="none"/>
          <w:lang w:eastAsia="zh-CN"/>
        </w:rPr>
        <w:t>签订合同后五个工作日内预付合同款的40%，验收合格后五个工作日内支付合同款的55%，自审计结算通过后五个工作日内支付合同款的5%。</w:t>
      </w:r>
    </w:p>
    <w:p w14:paraId="7A9FD870">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（五）施工内容：工程量清单及图纸所示全部内容。（详见附件</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P35</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14:paraId="00A4F261">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（六）</w:t>
      </w:r>
      <w:r>
        <w:rPr>
          <w:rFonts w:hint="eastAsia" w:ascii="方正仿宋_GB2312" w:hAnsi="方正仿宋_GB2312" w:eastAsia="方正仿宋_GB2312" w:cs="方正仿宋_GB2312"/>
          <w:color w:val="000000"/>
          <w:sz w:val="28"/>
          <w:szCs w:val="28"/>
          <w:lang w:val="en-US" w:eastAsia="zh-CN"/>
        </w:rPr>
        <w:t>质量责任缺陷期</w:t>
      </w:r>
      <w:r>
        <w:rPr>
          <w:rFonts w:hint="eastAsia" w:ascii="方正仿宋_GB2312" w:hAnsi="方正仿宋_GB2312" w:eastAsia="方正仿宋_GB2312" w:cs="方正仿宋_GB2312"/>
          <w:color w:val="000000" w:themeColor="text1"/>
          <w:sz w:val="28"/>
          <w:szCs w:val="28"/>
          <w:lang w:val="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符合国家现行验收的质量合格标准，质保期为1年，在质量保证期内发现工程和材料的质量问题所造成的经济损失全部由供应商承担。</w:t>
      </w:r>
    </w:p>
    <w:p w14:paraId="3A4A1C42">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（七）质量要求：施工材料必须达到国家现行验收规范合格标准。</w:t>
      </w:r>
    </w:p>
    <w:p w14:paraId="5739158A">
      <w:pPr>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八）施工安全及安全责任划分：本项目施工实施过程中，成交供应商须做好安全防护措施（尤其注意人员安全），在施工过程中，对施工范围周边区域原有设施设备采取适当措施进行保护，如因供应商原因造成施工场地周边原有设备设施损坏的，供应商无条件进行恢复。</w:t>
      </w:r>
      <w:r>
        <w:rPr>
          <w:rFonts w:hint="eastAsia" w:ascii="方正仿宋_GB2312" w:hAnsi="方正仿宋_GB2312" w:eastAsia="方正仿宋_GB2312" w:cs="方正仿宋_GB2312"/>
          <w:color w:val="000000"/>
          <w:sz w:val="28"/>
          <w:szCs w:val="28"/>
          <w:lang w:val="en-US" w:eastAsia="zh-CN"/>
        </w:rPr>
        <w:t>凡因供应商自身原因引起的</w:t>
      </w:r>
      <w:r>
        <w:rPr>
          <w:rFonts w:hint="eastAsia" w:ascii="方正仿宋_GB2312" w:hAnsi="方正仿宋_GB2312" w:eastAsia="方正仿宋_GB2312" w:cs="方正仿宋_GB2312"/>
          <w:color w:val="000000"/>
          <w:sz w:val="28"/>
          <w:szCs w:val="28"/>
        </w:rPr>
        <w:t>工程安全责任(含事故)由成交供应商全部承担</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。如遇上述情况，采购人有权将质保金或未支付的</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工程</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款用于支付上述事宜，成交供应商不得有异议。【在响应文件中单独提供承诺函】</w:t>
      </w:r>
    </w:p>
    <w:p w14:paraId="60A4E29F">
      <w:pPr>
        <w:spacing w:line="360" w:lineRule="auto"/>
        <w:ind w:firstLine="560" w:firstLineChars="200"/>
        <w:rPr>
          <w:rFonts w:hint="eastAsia"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（九）投标供应商若提供虚假响应技术指标及文书谋取成交者一律视为无效投标，并按照相关的法律法规进行处罚。</w:t>
      </w:r>
    </w:p>
    <w:p w14:paraId="58CFA7C4">
      <w:pPr>
        <w:pStyle w:val="2"/>
        <w:rPr>
          <w:rFonts w:hint="eastAsia" w:ascii="方正仿宋_GB2312" w:hAnsi="方正仿宋_GB2312" w:eastAsia="方正仿宋_GB2312" w:cs="方正仿宋_GB2312"/>
          <w:color w:val="000000" w:themeColor="text1"/>
          <w:sz w:val="28"/>
          <w:szCs w:val="28"/>
          <w14:textFill>
            <w14:solidFill>
              <w14:schemeClr w14:val="tx1"/>
            </w14:solidFill>
          </w14:textFill>
        </w:rPr>
      </w:pPr>
      <w:bookmarkStart w:id="2" w:name="_Toc7416"/>
      <w:bookmarkStart w:id="3" w:name="_Toc14171"/>
      <w:r>
        <w:rPr>
          <w:rFonts w:hint="eastAsia" w:ascii="方正仿宋_GB2312" w:hAnsi="方正仿宋_GB2312" w:eastAsia="方正仿宋_GB2312" w:cs="方正仿宋_GB2312"/>
          <w:color w:val="000000" w:themeColor="text1"/>
          <w:sz w:val="28"/>
          <w:szCs w:val="28"/>
          <w14:textFill>
            <w14:solidFill>
              <w14:schemeClr w14:val="tx1"/>
            </w14:solidFill>
          </w14:textFill>
        </w:rPr>
        <w:t>五、验收及其他要求</w:t>
      </w:r>
      <w:bookmarkEnd w:id="2"/>
      <w:bookmarkEnd w:id="3"/>
    </w:p>
    <w:p w14:paraId="4DAF11F2">
      <w:pPr>
        <w:wordWrap w:val="0"/>
        <w:adjustRightInd w:val="0"/>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验收方法：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p>
    <w:p w14:paraId="3A1488DC">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11130"/>
    <w:rsid w:val="05890878"/>
    <w:rsid w:val="24603CD2"/>
    <w:rsid w:val="5821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rFonts w:eastAsia="方正仿宋_GBK" w:cs="方正仿宋_GBK"/>
      <w:b/>
      <w:kern w:val="44"/>
      <w:sz w:val="32"/>
      <w:szCs w:val="32"/>
    </w:rPr>
  </w:style>
  <w:style w:type="paragraph" w:styleId="3">
    <w:name w:val="heading 2"/>
    <w:basedOn w:val="4"/>
    <w:next w:val="1"/>
    <w:semiHidden/>
    <w:unhideWhenUsed/>
    <w:qFormat/>
    <w:uiPriority w:val="0"/>
    <w:pPr>
      <w:keepNext/>
      <w:keepLines/>
      <w:spacing w:line="360" w:lineRule="auto"/>
      <w:ind w:left="0" w:firstLine="0"/>
      <w:outlineLvl w:val="1"/>
    </w:pPr>
    <w:rPr>
      <w:rFonts w:ascii="Cambria" w:hAnsi="Cambria" w:eastAsia="方正仿宋_GBK" w:cs="Times New Roman"/>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2025-06-30T09:29:00Z</dcterms:created>
  <dc:creator> 羊羊</dc:creator>
  <cp:lastModifiedBy> 羊羊</cp:lastModifiedBy>
  <dcterms:modified xsi:type="dcterms:W3CDTF">2025-06-30T09:29:34Z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34C3E5ACAD684E928660D2CD136054C7_11</vt:lpwstr>
  </property>
  <property fmtid="{D5CDD505-2E9C-101B-9397-08002B2CF9AE}" pid="4" name="KSOTemplateDocerSaveRecord">
    <vt:lpwstr>eyJoZGlkIjoiMzdkODg4NWQ5MGRhYjQyOWFjNGU4ZWExYjEwN2Y5ZTEiLCJ1c2VySWQiOiI5NTMxNjk3NzMifQ==</vt:lpwstr>
  </property>
</Properties>
</file>