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760095" cy="290830"/>
            <wp:effectExtent l="0" t="0" r="1905" b="13970"/>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10" cstate="print"/>
                    <a:stretch>
                      <a:fillRect/>
                    </a:stretch>
                  </pic:blipFill>
                  <pic:spPr>
                    <a:xfrm>
                      <a:off x="0" y="0"/>
                      <a:ext cx="760095" cy="290830"/>
                    </a:xfrm>
                    <a:prstGeom prst="rect">
                      <a:avLst/>
                    </a:prstGeom>
                    <a:noFill/>
                    <a:ln w="9525">
                      <a:noFill/>
                    </a:ln>
                  </pic:spPr>
                </pic:pic>
              </a:graphicData>
            </a:graphic>
          </wp:inline>
        </w:drawing>
      </w:r>
    </w:p>
    <w:p>
      <w:pPr>
        <w:jc w:val="center"/>
        <w:rPr>
          <w:rFonts w:ascii="方正仿宋_GBK" w:hAnsi="方正仿宋_GBK" w:eastAsia="方正仿宋_GBK" w:cs="方正仿宋_GBK"/>
          <w:bCs/>
          <w:sz w:val="36"/>
          <w:szCs w:val="36"/>
        </w:rPr>
      </w:pPr>
    </w:p>
    <w:p>
      <w:pPr>
        <w:jc w:val="center"/>
        <w:rPr>
          <w:rFonts w:ascii="方正仿宋_GBK" w:hAnsi="方正仿宋_GBK" w:eastAsia="方正仿宋_GBK" w:cs="方正仿宋_GBK"/>
          <w:bCs/>
          <w:sz w:val="40"/>
          <w:szCs w:val="40"/>
        </w:rPr>
      </w:pPr>
      <w:r>
        <w:rPr>
          <w:rFonts w:hint="eastAsia" w:ascii="方正仿宋_GBK" w:hAnsi="方正仿宋_GBK" w:eastAsia="方正仿宋_GBK" w:cs="方正仿宋_GBK"/>
          <w:bCs/>
          <w:kern w:val="0"/>
          <w:sz w:val="40"/>
          <w:szCs w:val="40"/>
        </w:rPr>
        <w:t>项目编号：</w:t>
      </w:r>
      <w:r>
        <w:rPr>
          <w:rFonts w:hint="eastAsia" w:ascii="方正仿宋_GBK" w:hAnsi="方正仿宋_GBK" w:eastAsia="方正仿宋_GBK" w:cs="方正仿宋_GBK"/>
          <w:bCs/>
          <w:sz w:val="40"/>
          <w:szCs w:val="40"/>
        </w:rPr>
        <w:t>SCZJDL〔2023〕83号</w:t>
      </w:r>
    </w:p>
    <w:p>
      <w:pPr>
        <w:jc w:val="center"/>
        <w:rPr>
          <w:rFonts w:ascii="方正仿宋_GBK" w:hAnsi="方正仿宋_GBK" w:eastAsia="方正仿宋_GBK" w:cs="方正仿宋_GBK"/>
          <w:bCs/>
          <w:kern w:val="0"/>
          <w:sz w:val="40"/>
          <w:szCs w:val="40"/>
        </w:rPr>
      </w:pPr>
      <w:r>
        <w:rPr>
          <w:rFonts w:hint="eastAsia" w:ascii="方正仿宋_GBK" w:hAnsi="方正仿宋_GBK" w:eastAsia="方正仿宋_GBK" w:cs="方正仿宋_GBK"/>
          <w:bCs/>
          <w:kern w:val="0"/>
          <w:sz w:val="40"/>
          <w:szCs w:val="40"/>
        </w:rPr>
        <w:t>巴中市公安局巴州区分局标准化信息采集系统建设采购项目</w:t>
      </w:r>
    </w:p>
    <w:p>
      <w:pPr>
        <w:spacing w:line="360" w:lineRule="auto"/>
        <w:jc w:val="center"/>
        <w:rPr>
          <w:rFonts w:ascii="方正仿宋_GBK" w:hAnsi="方正仿宋_GBK" w:eastAsia="方正仿宋_GBK" w:cs="方正仿宋_GBK"/>
          <w:b/>
          <w:sz w:val="72"/>
          <w:szCs w:val="72"/>
        </w:rPr>
      </w:pPr>
      <w:r>
        <w:rPr>
          <w:rFonts w:hint="eastAsia" w:ascii="方正仿宋_GBK" w:hAnsi="方正仿宋_GBK" w:eastAsia="方正仿宋_GBK" w:cs="方正仿宋_GBK"/>
          <w:b/>
          <w:sz w:val="72"/>
          <w:szCs w:val="72"/>
        </w:rPr>
        <w:t>询价文件</w:t>
      </w:r>
    </w:p>
    <w:p>
      <w:pPr>
        <w:spacing w:line="360" w:lineRule="auto"/>
        <w:jc w:val="center"/>
        <w:rPr>
          <w:rFonts w:ascii="方正仿宋_GBK" w:hAnsi="方正仿宋_GBK" w:eastAsia="方正仿宋_GBK" w:cs="方正仿宋_GBK"/>
          <w:b/>
          <w:sz w:val="72"/>
          <w:szCs w:val="72"/>
        </w:rPr>
      </w:pPr>
    </w:p>
    <w:p>
      <w:pPr>
        <w:pStyle w:val="2"/>
        <w:rPr>
          <w:rFonts w:ascii="方正仿宋_GBK" w:hAnsi="方正仿宋_GBK" w:eastAsia="方正仿宋_GBK" w:cs="方正仿宋_GBK"/>
          <w:b/>
          <w:sz w:val="72"/>
          <w:szCs w:val="72"/>
        </w:rPr>
      </w:pPr>
    </w:p>
    <w:p>
      <w:pPr>
        <w:rPr>
          <w:rFonts w:ascii="方正仿宋_GBK" w:hAnsi="方正仿宋_GBK" w:eastAsia="方正仿宋_GBK" w:cs="方正仿宋_GBK"/>
          <w:b/>
          <w:sz w:val="72"/>
          <w:szCs w:val="72"/>
        </w:rPr>
      </w:pP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巴中市公安局巴州区分局</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sectPr>
          <w:headerReference r:id="rId3" w:type="default"/>
          <w:pgSz w:w="11906" w:h="16838"/>
          <w:pgMar w:top="1440" w:right="1803" w:bottom="1440" w:left="1803" w:header="851" w:footer="992" w:gutter="0"/>
          <w:cols w:space="720" w:num="1"/>
          <w:docGrid w:type="lines" w:linePitch="312" w:charSpace="0"/>
        </w:sectPr>
      </w:pPr>
      <w:r>
        <w:rPr>
          <w:rFonts w:hint="eastAsia" w:ascii="方正仿宋_GBK" w:hAnsi="方正仿宋_GBK" w:eastAsia="方正仿宋_GBK" w:cs="方正仿宋_GBK"/>
          <w:bCs/>
          <w:sz w:val="32"/>
          <w:szCs w:val="32"/>
        </w:rPr>
        <w:t>2023年11月</w:t>
      </w:r>
    </w:p>
    <w:p>
      <w:pPr>
        <w:jc w:val="center"/>
        <w:rPr>
          <w:rFonts w:ascii="方正仿宋_GBK" w:eastAsia="方正仿宋_GBK"/>
          <w:b/>
          <w:sz w:val="32"/>
          <w:szCs w:val="32"/>
        </w:rPr>
      </w:pPr>
      <w:r>
        <w:rPr>
          <w:rFonts w:hint="eastAsia" w:ascii="方正仿宋_GBK" w:eastAsia="方正仿宋_GBK"/>
          <w:b/>
          <w:sz w:val="32"/>
          <w:szCs w:val="32"/>
        </w:rPr>
        <w:t>廉洁自律书</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举报电话：0827-8668888      举报邮箱：3480200800@qq.com</w:t>
      </w:r>
    </w:p>
    <w:p>
      <w:pPr>
        <w:sectPr>
          <w:footerReference r:id="rId4" w:type="default"/>
          <w:pgSz w:w="11906" w:h="16838"/>
          <w:pgMar w:top="1440" w:right="1803" w:bottom="1440" w:left="1803" w:header="851" w:footer="992" w:gutter="0"/>
          <w:pgNumType w:start="1"/>
          <w:cols w:space="720" w:num="1"/>
          <w:docGrid w:type="lines" w:linePitch="312" w:charSpace="0"/>
        </w:sectPr>
      </w:pPr>
    </w:p>
    <w:sdt>
      <w:sdtPr>
        <w:rPr>
          <w:rFonts w:hint="eastAsia" w:ascii="方正仿宋_GBK" w:hAnsi="方正仿宋_GBK" w:eastAsia="方正仿宋_GBK" w:cs="方正仿宋_GBK"/>
          <w:sz w:val="44"/>
          <w:szCs w:val="44"/>
        </w:rPr>
        <w:id w:val="147478925"/>
        <w:docPartObj>
          <w:docPartGallery w:val="Table of Contents"/>
          <w:docPartUnique/>
        </w:docPartObj>
      </w:sdtPr>
      <w:sdtEndPr>
        <w:rPr>
          <w:rFonts w:hint="eastAsia" w:ascii="方正仿宋_GBK" w:hAnsi="方正仿宋_GBK" w:eastAsia="方正仿宋_GBK" w:cs="方正仿宋_GBK"/>
          <w:sz w:val="28"/>
          <w:szCs w:val="28"/>
        </w:rPr>
      </w:sdtEndPr>
      <w:sdtContent>
        <w:p>
          <w:pPr>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目录</w:t>
          </w:r>
        </w:p>
        <w:p>
          <w:pPr>
            <w:pStyle w:val="15"/>
            <w:tabs>
              <w:tab w:val="right" w:leader="dot" w:pos="8306"/>
            </w:tabs>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"1-1" \h \u </w:instrText>
          </w:r>
          <w:r>
            <w:rPr>
              <w:rFonts w:hint="eastAsia" w:ascii="方正仿宋_GBK" w:hAnsi="方正仿宋_GBK" w:eastAsia="方正仿宋_GBK" w:cs="方正仿宋_GBK"/>
              <w:sz w:val="28"/>
              <w:szCs w:val="28"/>
            </w:rPr>
            <w:fldChar w:fldCharType="separate"/>
          </w:r>
          <w:r>
            <w:fldChar w:fldCharType="begin"/>
          </w:r>
          <w:r>
            <w:instrText xml:space="preserve"> HYPERLINK \l "_Toc26089" </w:instrText>
          </w:r>
          <w:r>
            <w:fldChar w:fldCharType="separate"/>
          </w:r>
          <w:r>
            <w:rPr>
              <w:rFonts w:hint="eastAsia" w:ascii="方正仿宋_GBK" w:hAnsi="方正仿宋_GBK" w:eastAsia="方正仿宋_GBK" w:cs="方正仿宋_GBK"/>
              <w:sz w:val="28"/>
              <w:szCs w:val="28"/>
            </w:rPr>
            <w:t>一、采购项目基本情况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_Toc26089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"_Toc19128" </w:instrText>
          </w:r>
          <w:r>
            <w:fldChar w:fldCharType="separate"/>
          </w:r>
          <w:r>
            <w:rPr>
              <w:rFonts w:hint="eastAsia" w:ascii="方正仿宋_GBK" w:hAnsi="方正仿宋_GBK" w:eastAsia="方正仿宋_GBK" w:cs="方正仿宋_GBK"/>
              <w:sz w:val="28"/>
              <w:szCs w:val="28"/>
            </w:rPr>
            <w:t>二、资金情况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_Toc19128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"_Toc19098" </w:instrText>
          </w:r>
          <w:r>
            <w:fldChar w:fldCharType="separate"/>
          </w:r>
          <w:r>
            <w:rPr>
              <w:rFonts w:hint="eastAsia" w:ascii="方正仿宋_GBK" w:hAnsi="方正仿宋_GBK" w:eastAsia="方正仿宋_GBK" w:cs="方正仿宋_GBK"/>
              <w:sz w:val="28"/>
              <w:szCs w:val="28"/>
            </w:rPr>
            <w:t>三、采购需求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_Toc19098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"_Toc26097" </w:instrText>
          </w:r>
          <w:r>
            <w:fldChar w:fldCharType="separate"/>
          </w:r>
          <w:r>
            <w:rPr>
              <w:rFonts w:hint="eastAsia" w:ascii="方正仿宋_GBK" w:hAnsi="方正仿宋_GBK" w:eastAsia="方正仿宋_GBK" w:cs="方正仿宋_GBK"/>
              <w:sz w:val="28"/>
              <w:szCs w:val="28"/>
            </w:rPr>
            <w:t>四、响应文件要求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_Toc26097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"_Toc4386" </w:instrText>
          </w:r>
          <w:r>
            <w:fldChar w:fldCharType="separate"/>
          </w:r>
          <w:r>
            <w:rPr>
              <w:rFonts w:hint="eastAsia" w:ascii="方正仿宋_GBK" w:hAnsi="方正仿宋_GBK" w:eastAsia="方正仿宋_GBK" w:cs="方正仿宋_GBK"/>
              <w:sz w:val="28"/>
              <w:szCs w:val="28"/>
            </w:rPr>
            <w:t>五、响应文件格式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_Toc4386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"_Toc27996" </w:instrText>
          </w:r>
          <w:r>
            <w:fldChar w:fldCharType="separate"/>
          </w:r>
          <w:r>
            <w:rPr>
              <w:rFonts w:hint="eastAsia" w:ascii="方正仿宋_GBK" w:hAnsi="方正仿宋_GBK" w:eastAsia="方正仿宋_GBK" w:cs="方正仿宋_GBK"/>
              <w:sz w:val="28"/>
              <w:szCs w:val="28"/>
            </w:rPr>
            <w:t>六、确定成交供应商的原则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_Toc27996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"_Toc32506" </w:instrText>
          </w:r>
          <w:r>
            <w:fldChar w:fldCharType="separate"/>
          </w:r>
          <w:r>
            <w:rPr>
              <w:rFonts w:hint="eastAsia" w:ascii="方正仿宋_GBK" w:hAnsi="方正仿宋_GBK" w:eastAsia="方正仿宋_GBK" w:cs="方正仿宋_GBK"/>
              <w:sz w:val="28"/>
              <w:szCs w:val="28"/>
            </w:rPr>
            <w:t>七、文件获取方式、时间、地点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_Toc32506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"_Toc22573" </w:instrText>
          </w:r>
          <w:r>
            <w:fldChar w:fldCharType="separate"/>
          </w:r>
          <w:r>
            <w:rPr>
              <w:rFonts w:hint="eastAsia" w:ascii="方正仿宋_GBK" w:hAnsi="方正仿宋_GBK" w:eastAsia="方正仿宋_GBK" w:cs="方正仿宋_GBK"/>
              <w:sz w:val="28"/>
              <w:szCs w:val="28"/>
            </w:rPr>
            <w:t>八、递交响应文件截止时间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_Toc22573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"_Toc24476" </w:instrText>
          </w:r>
          <w:r>
            <w:fldChar w:fldCharType="separate"/>
          </w:r>
          <w:r>
            <w:rPr>
              <w:rFonts w:hint="eastAsia" w:ascii="方正仿宋_GBK" w:hAnsi="方正仿宋_GBK" w:eastAsia="方正仿宋_GBK" w:cs="方正仿宋_GBK"/>
              <w:sz w:val="28"/>
              <w:szCs w:val="28"/>
            </w:rPr>
            <w:t>九、递交响应文件地点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_Toc24476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"_Toc6315" </w:instrText>
          </w:r>
          <w:r>
            <w:fldChar w:fldCharType="separate"/>
          </w:r>
          <w:r>
            <w:rPr>
              <w:rFonts w:hint="eastAsia" w:ascii="方正仿宋_GBK" w:hAnsi="方正仿宋_GBK" w:eastAsia="方正仿宋_GBK" w:cs="方正仿宋_GBK"/>
              <w:sz w:val="28"/>
              <w:szCs w:val="28"/>
            </w:rPr>
            <w:t>十、代理服务</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_Toc6315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"_Toc9760" </w:instrText>
          </w:r>
          <w:r>
            <w:fldChar w:fldCharType="separate"/>
          </w:r>
          <w:r>
            <w:rPr>
              <w:rFonts w:hint="eastAsia" w:ascii="方正仿宋_GBK" w:hAnsi="方正仿宋_GBK" w:eastAsia="方正仿宋_GBK" w:cs="方正仿宋_GBK"/>
              <w:sz w:val="28"/>
              <w:szCs w:val="28"/>
            </w:rPr>
            <w:t>十一、联系方式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_Toc9760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"_Toc8137" </w:instrText>
          </w:r>
          <w:r>
            <w:fldChar w:fldCharType="separate"/>
          </w:r>
          <w:r>
            <w:rPr>
              <w:rFonts w:hint="eastAsia" w:ascii="方正仿宋_GBK" w:hAnsi="方正仿宋_GBK" w:eastAsia="方正仿宋_GBK" w:cs="方正仿宋_GBK"/>
              <w:sz w:val="28"/>
              <w:szCs w:val="28"/>
            </w:rPr>
            <w:t>十二、询问、质疑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_Toc8137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"_Toc10466" </w:instrText>
          </w:r>
          <w:r>
            <w:fldChar w:fldCharType="separate"/>
          </w:r>
          <w:r>
            <w:rPr>
              <w:rFonts w:hint="eastAsia" w:ascii="方正仿宋_GBK" w:hAnsi="方正仿宋_GBK" w:eastAsia="方正仿宋_GBK" w:cs="方正仿宋_GBK"/>
              <w:sz w:val="28"/>
              <w:szCs w:val="28"/>
            </w:rPr>
            <w:t>十三、保证金及履约保证金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_Toc10466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pPr>
          <w:r>
            <w:fldChar w:fldCharType="begin"/>
          </w:r>
          <w:r>
            <w:instrText xml:space="preserve"> HYPERLINK \l "_Toc22218" </w:instrText>
          </w:r>
          <w:r>
            <w:fldChar w:fldCharType="separate"/>
          </w:r>
          <w:r>
            <w:rPr>
              <w:rFonts w:hint="eastAsia" w:ascii="方正仿宋_GBK" w:hAnsi="方正仿宋_GBK" w:eastAsia="方正仿宋_GBK" w:cs="方正仿宋_GBK"/>
              <w:sz w:val="28"/>
              <w:szCs w:val="28"/>
            </w:rPr>
            <w:t>十四、合同草案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_Toc22218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Cs w:val="28"/>
            </w:rPr>
            <w:fldChar w:fldCharType="end"/>
          </w:r>
        </w:p>
      </w:sdtContent>
    </w:sdt>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巴中市公安局巴州区分局</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u w:val="single"/>
        </w:rPr>
        <w:t>巴中市公安局巴州区分局标准化信息采集系统建设采购项目</w:t>
      </w:r>
      <w:r>
        <w:rPr>
          <w:rFonts w:hint="eastAsia" w:ascii="方正仿宋_GBK" w:hAnsi="方正仿宋_GBK" w:eastAsia="方正仿宋_GBK" w:cs="方正仿宋_GBK"/>
          <w:sz w:val="28"/>
          <w:szCs w:val="28"/>
        </w:rPr>
        <w:t>采用询价方式进行采购，特邀请符合本次采购要求的供应商参加报价。</w:t>
      </w:r>
    </w:p>
    <w:p>
      <w:pPr>
        <w:ind w:firstLine="560" w:firstLineChars="200"/>
        <w:rPr>
          <w:rFonts w:ascii="方正仿宋_GBK" w:hAnsi="方正仿宋_GBK" w:eastAsia="方正仿宋_GBK" w:cs="方正仿宋_GBK"/>
          <w:sz w:val="28"/>
          <w:szCs w:val="28"/>
        </w:rPr>
      </w:pPr>
      <w:bookmarkStart w:id="0" w:name="_Toc24469"/>
      <w:bookmarkStart w:id="1" w:name="_Toc8806"/>
      <w:bookmarkStart w:id="2" w:name="_Toc26089"/>
      <w:r>
        <w:rPr>
          <w:rFonts w:hint="eastAsia" w:ascii="方正仿宋_GBK" w:hAnsi="方正仿宋_GBK" w:eastAsia="方正仿宋_GBK" w:cs="方正仿宋_GBK"/>
          <w:sz w:val="28"/>
          <w:szCs w:val="28"/>
        </w:rPr>
        <w:t>一、采购项目基本情况</w:t>
      </w:r>
      <w:bookmarkEnd w:id="0"/>
      <w:bookmarkEnd w:id="1"/>
      <w:bookmarkEnd w:id="2"/>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1、项目编号：SCZJDL〔2023〕83号；</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2、项目名称：巴中市公安局巴州区分局标准化信息采集系统建设采购项目；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w:t>
      </w:r>
      <w:r>
        <w:rPr>
          <w:rFonts w:hint="eastAsia" w:ascii="方正仿宋_GBK" w:hAnsi="方正仿宋_GBK" w:eastAsia="方正仿宋_GBK" w:cs="方正仿宋_GBK"/>
          <w:sz w:val="28"/>
          <w:szCs w:val="28"/>
          <w:u w:val="single"/>
        </w:rPr>
        <w:t>不专门</w:t>
      </w:r>
      <w:r>
        <w:rPr>
          <w:rFonts w:hint="eastAsia" w:ascii="方正仿宋_GBK" w:hAnsi="方正仿宋_GBK" w:eastAsia="方正仿宋_GBK" w:cs="方正仿宋_GBK"/>
          <w:sz w:val="28"/>
          <w:szCs w:val="28"/>
        </w:rPr>
        <w:t>面向中小企业采购；</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4、采购人：巴中市公安局巴州区分局；</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5、采购代理机构：四川振嘉工程招标代理有限公司。</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6、公告方式：本项目采购公告在四川振嘉工程招标代理有限公司网站发布。</w:t>
      </w:r>
    </w:p>
    <w:p>
      <w:pPr>
        <w:pStyle w:val="2"/>
        <w:ind w:firstLine="562" w:firstLineChars="200"/>
      </w:pPr>
      <w:r>
        <w:rPr>
          <w:rFonts w:hint="eastAsia" w:ascii="方正仿宋_GBK" w:hAnsi="方正仿宋_GBK" w:eastAsia="方正仿宋_GBK" w:cs="方正仿宋_GBK"/>
          <w:b/>
          <w:bCs/>
          <w:sz w:val="28"/>
          <w:szCs w:val="28"/>
        </w:rPr>
        <w:t>本项目所属行业：工业。</w:t>
      </w:r>
    </w:p>
    <w:p>
      <w:pPr>
        <w:pStyle w:val="3"/>
        <w:rPr>
          <w:rFonts w:ascii="方正仿宋_GBK" w:hAnsi="方正仿宋_GBK"/>
          <w:sz w:val="28"/>
          <w:szCs w:val="28"/>
        </w:rPr>
      </w:pPr>
      <w:bookmarkStart w:id="3" w:name="_Toc11689"/>
      <w:bookmarkStart w:id="4" w:name="_Toc19128"/>
      <w:bookmarkStart w:id="5" w:name="_Toc9111"/>
      <w:r>
        <w:rPr>
          <w:rFonts w:hint="eastAsia" w:ascii="方正仿宋_GBK" w:hAnsi="方正仿宋_GBK"/>
          <w:sz w:val="28"/>
          <w:szCs w:val="28"/>
        </w:rPr>
        <w:t>二、资金情况</w:t>
      </w:r>
      <w:bookmarkEnd w:id="3"/>
      <w:bookmarkEnd w:id="4"/>
      <w:bookmarkEnd w:id="5"/>
    </w:p>
    <w:p>
      <w:pPr>
        <w:ind w:right="31" w:rightChars="15"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资金来源及控制金额：</w:t>
      </w:r>
      <w:r>
        <w:rPr>
          <w:rFonts w:hint="eastAsia" w:ascii="方正仿宋_GBK" w:hAnsi="方正仿宋_GBK" w:eastAsia="方正仿宋_GBK" w:cs="方正仿宋_GBK"/>
          <w:color w:val="000000" w:themeColor="text1"/>
          <w:sz w:val="28"/>
          <w:szCs w:val="28"/>
          <w14:textFill>
            <w14:solidFill>
              <w14:schemeClr w14:val="tx1"/>
            </w14:solidFill>
          </w14:textFill>
        </w:rPr>
        <w:t>财政资金，控制价</w:t>
      </w:r>
      <w:r>
        <w:rPr>
          <w:rFonts w:hint="eastAsia" w:ascii="方正仿宋_GBK" w:hAnsi="宋体" w:eastAsia="方正仿宋_GBK" w:cs="宋体"/>
          <w:kern w:val="0"/>
          <w:sz w:val="28"/>
          <w:szCs w:val="28"/>
        </w:rPr>
        <w:t>286000.00</w:t>
      </w:r>
      <w:r>
        <w:rPr>
          <w:rFonts w:hint="eastAsia" w:ascii="方正仿宋_GBK" w:hAnsi="方正仿宋_GBK" w:eastAsia="方正仿宋_GBK" w:cs="方正仿宋_GBK"/>
          <w:sz w:val="28"/>
          <w:szCs w:val="28"/>
        </w:rPr>
        <w:t>元整</w:t>
      </w:r>
      <w:r>
        <w:rPr>
          <w:rFonts w:hint="eastAsia" w:ascii="方正仿宋_GBK" w:hAnsi="方正仿宋_GBK" w:eastAsia="方正仿宋_GBK" w:cs="方正仿宋_GBK"/>
          <w:kern w:val="0"/>
          <w:sz w:val="28"/>
          <w:szCs w:val="28"/>
        </w:rPr>
        <w:t>；</w:t>
      </w:r>
    </w:p>
    <w:p>
      <w:pPr>
        <w:pStyle w:val="3"/>
        <w:rPr>
          <w:rFonts w:ascii="方正仿宋_GBK" w:hAnsi="方正仿宋_GBK"/>
          <w:sz w:val="28"/>
          <w:szCs w:val="28"/>
        </w:rPr>
      </w:pPr>
      <w:bookmarkStart w:id="6" w:name="_Toc19098"/>
      <w:bookmarkStart w:id="7" w:name="_Toc23227"/>
      <w:bookmarkStart w:id="8" w:name="_Toc16580"/>
      <w:r>
        <w:rPr>
          <w:rFonts w:hint="eastAsia" w:ascii="方正仿宋_GBK" w:hAnsi="方正仿宋_GBK"/>
          <w:sz w:val="28"/>
          <w:szCs w:val="28"/>
        </w:rPr>
        <w:t>三、采购需求</w:t>
      </w:r>
      <w:bookmarkEnd w:id="6"/>
      <w:bookmarkEnd w:id="7"/>
      <w:bookmarkEnd w:id="8"/>
    </w:p>
    <w:p>
      <w:pPr>
        <w:pStyle w:val="4"/>
        <w:rPr>
          <w:sz w:val="28"/>
          <w:szCs w:val="28"/>
        </w:rPr>
      </w:pPr>
      <w:bookmarkStart w:id="9" w:name="_Toc24269"/>
      <w:r>
        <w:rPr>
          <w:rFonts w:hint="eastAsia"/>
          <w:sz w:val="28"/>
          <w:szCs w:val="28"/>
        </w:rPr>
        <w:t>（一）</w:t>
      </w:r>
      <w:bookmarkEnd w:id="9"/>
      <w:r>
        <w:rPr>
          <w:rFonts w:hint="eastAsia"/>
          <w:sz w:val="28"/>
          <w:szCs w:val="28"/>
        </w:rPr>
        <w:t>采购清单</w:t>
      </w:r>
    </w:p>
    <w:tbl>
      <w:tblPr>
        <w:tblStyle w:val="22"/>
        <w:tblW w:w="4998" w:type="pct"/>
        <w:jc w:val="center"/>
        <w:tblLayout w:type="autofit"/>
        <w:tblCellMar>
          <w:top w:w="0" w:type="dxa"/>
          <w:left w:w="108" w:type="dxa"/>
          <w:bottom w:w="0" w:type="dxa"/>
          <w:right w:w="108" w:type="dxa"/>
        </w:tblCellMar>
      </w:tblPr>
      <w:tblGrid>
        <w:gridCol w:w="968"/>
        <w:gridCol w:w="3977"/>
        <w:gridCol w:w="968"/>
        <w:gridCol w:w="968"/>
        <w:gridCol w:w="1638"/>
      </w:tblGrid>
      <w:tr>
        <w:tblPrEx>
          <w:tblCellMar>
            <w:top w:w="0" w:type="dxa"/>
            <w:left w:w="108" w:type="dxa"/>
            <w:bottom w:w="0" w:type="dxa"/>
            <w:right w:w="108" w:type="dxa"/>
          </w:tblCellMar>
        </w:tblPrEx>
        <w:trPr>
          <w:trHeight w:val="442"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bookmarkStart w:id="10" w:name="_Toc31196"/>
            <w:bookmarkStart w:id="11" w:name="_Toc26097"/>
            <w:bookmarkStart w:id="12" w:name="_Toc8612"/>
            <w:r>
              <w:rPr>
                <w:rFonts w:hint="eastAsia" w:ascii="仿宋_GB2312" w:hAnsi="仿宋_GB2312" w:eastAsia="仿宋_GB2312" w:cs="仿宋_GB2312"/>
                <w:color w:val="000000"/>
                <w:sz w:val="24"/>
                <w:szCs w:val="24"/>
              </w:rPr>
              <w:t>序号</w:t>
            </w:r>
          </w:p>
        </w:tc>
        <w:tc>
          <w:tcPr>
            <w:tcW w:w="233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产品名称</w:t>
            </w:r>
          </w:p>
        </w:tc>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c>
          <w:tcPr>
            <w:tcW w:w="960"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CellMar>
            <w:top w:w="0" w:type="dxa"/>
            <w:left w:w="108" w:type="dxa"/>
            <w:bottom w:w="0" w:type="dxa"/>
            <w:right w:w="108" w:type="dxa"/>
          </w:tblCellMar>
        </w:tblPrEx>
        <w:trPr>
          <w:trHeight w:val="490"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33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多生物特征信息采集平台</w:t>
            </w:r>
          </w:p>
        </w:tc>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color w:val="000000"/>
                <w:sz w:val="24"/>
                <w:szCs w:val="24"/>
              </w:rPr>
              <w:t>套</w:t>
            </w:r>
          </w:p>
        </w:tc>
        <w:tc>
          <w:tcPr>
            <w:tcW w:w="9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108" w:type="dxa"/>
            <w:bottom w:w="0" w:type="dxa"/>
            <w:right w:w="108" w:type="dxa"/>
          </w:tblCellMar>
        </w:tblPrEx>
        <w:trPr>
          <w:trHeight w:val="390"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33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人员信息布控管理软件</w:t>
            </w:r>
          </w:p>
        </w:tc>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color w:val="000000"/>
                <w:sz w:val="24"/>
                <w:szCs w:val="24"/>
              </w:rPr>
              <w:t>套</w:t>
            </w:r>
          </w:p>
        </w:tc>
        <w:tc>
          <w:tcPr>
            <w:tcW w:w="9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108" w:type="dxa"/>
            <w:bottom w:w="0" w:type="dxa"/>
            <w:right w:w="108" w:type="dxa"/>
          </w:tblCellMar>
        </w:tblPrEx>
        <w:trPr>
          <w:trHeight w:val="424"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33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指掌纹采集系统</w:t>
            </w:r>
          </w:p>
        </w:tc>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color w:val="000000"/>
                <w:sz w:val="24"/>
                <w:szCs w:val="24"/>
              </w:rPr>
              <w:t>套</w:t>
            </w:r>
          </w:p>
        </w:tc>
        <w:tc>
          <w:tcPr>
            <w:tcW w:w="9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核心产品</w:t>
            </w:r>
          </w:p>
        </w:tc>
      </w:tr>
      <w:tr>
        <w:tblPrEx>
          <w:tblCellMar>
            <w:top w:w="0" w:type="dxa"/>
            <w:left w:w="108" w:type="dxa"/>
            <w:bottom w:w="0" w:type="dxa"/>
            <w:right w:w="108" w:type="dxa"/>
          </w:tblCellMar>
        </w:tblPrEx>
        <w:trPr>
          <w:trHeight w:val="448"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33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通讯设备全数据采集系统</w:t>
            </w:r>
          </w:p>
        </w:tc>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color w:val="000000"/>
                <w:sz w:val="24"/>
                <w:szCs w:val="24"/>
              </w:rPr>
              <w:t>套</w:t>
            </w:r>
          </w:p>
        </w:tc>
        <w:tc>
          <w:tcPr>
            <w:tcW w:w="9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108" w:type="dxa"/>
            <w:bottom w:w="0" w:type="dxa"/>
            <w:right w:w="108" w:type="dxa"/>
          </w:tblCellMar>
        </w:tblPrEx>
        <w:trPr>
          <w:trHeight w:val="448"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33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足迹采集系统</w:t>
            </w:r>
          </w:p>
        </w:tc>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color w:val="000000"/>
                <w:sz w:val="24"/>
                <w:szCs w:val="24"/>
              </w:rPr>
              <w:t>套</w:t>
            </w:r>
          </w:p>
        </w:tc>
        <w:tc>
          <w:tcPr>
            <w:tcW w:w="9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108" w:type="dxa"/>
            <w:bottom w:w="0" w:type="dxa"/>
            <w:right w:w="108" w:type="dxa"/>
          </w:tblCellMar>
        </w:tblPrEx>
        <w:trPr>
          <w:trHeight w:val="448"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233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声纹采集设备</w:t>
            </w:r>
          </w:p>
        </w:tc>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color w:val="000000"/>
                <w:sz w:val="24"/>
                <w:szCs w:val="24"/>
              </w:rPr>
              <w:t>套</w:t>
            </w:r>
          </w:p>
        </w:tc>
        <w:tc>
          <w:tcPr>
            <w:tcW w:w="9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108" w:type="dxa"/>
            <w:bottom w:w="0" w:type="dxa"/>
            <w:right w:w="108" w:type="dxa"/>
          </w:tblCellMar>
        </w:tblPrEx>
        <w:trPr>
          <w:trHeight w:val="448"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233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虹膜采集设备</w:t>
            </w:r>
          </w:p>
        </w:tc>
        <w:tc>
          <w:tcPr>
            <w:tcW w:w="56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仿宋_GB2312" w:eastAsia="仿宋_GB2312" w:cs="仿宋_GB2312"/>
                <w:color w:val="000000"/>
                <w:sz w:val="24"/>
                <w:szCs w:val="24"/>
              </w:rPr>
              <w:t>套</w:t>
            </w:r>
          </w:p>
        </w:tc>
        <w:tc>
          <w:tcPr>
            <w:tcW w:w="9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szCs w:val="24"/>
                <w:lang w:bidi="ar"/>
              </w:rPr>
            </w:pPr>
          </w:p>
        </w:tc>
      </w:tr>
    </w:tbl>
    <w:p>
      <w:pPr>
        <w:spacing w:line="360" w:lineRule="auto"/>
        <w:rPr>
          <w:rFonts w:eastAsia="仿宋"/>
          <w:b/>
          <w:bCs/>
          <w:sz w:val="28"/>
        </w:rPr>
      </w:pPr>
      <w:r>
        <w:rPr>
          <w:rFonts w:eastAsia="仿宋"/>
          <w:b/>
          <w:bCs/>
          <w:sz w:val="28"/>
        </w:rPr>
        <w:t>（</w:t>
      </w:r>
      <w:r>
        <w:rPr>
          <w:rFonts w:hint="eastAsia" w:eastAsia="仿宋"/>
          <w:b/>
          <w:bCs/>
          <w:sz w:val="28"/>
        </w:rPr>
        <w:t>二</w:t>
      </w:r>
      <w:r>
        <w:rPr>
          <w:rFonts w:eastAsia="仿宋"/>
          <w:b/>
          <w:bCs/>
          <w:sz w:val="28"/>
        </w:rPr>
        <w:t>）</w:t>
      </w:r>
      <w:r>
        <w:rPr>
          <w:rFonts w:hint="eastAsia" w:eastAsia="仿宋"/>
          <w:b/>
          <w:bCs/>
          <w:sz w:val="28"/>
        </w:rPr>
        <w:t>技术和参数要求</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3"/>
        <w:gridCol w:w="990"/>
        <w:gridCol w:w="628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6" w:type="pct"/>
            <w:vAlign w:val="center"/>
          </w:tcPr>
          <w:p>
            <w:pPr>
              <w:autoSpaceDN w:val="0"/>
              <w:jc w:val="center"/>
              <w:textAlignment w:val="center"/>
              <w:rPr>
                <w:rFonts w:ascii="仿宋" w:hAnsi="仿宋" w:eastAsia="仿宋" w:cs="仿宋"/>
                <w:bCs/>
                <w:color w:val="000000"/>
                <w:sz w:val="24"/>
                <w:szCs w:val="24"/>
              </w:rPr>
            </w:pPr>
            <w:r>
              <w:rPr>
                <w:rFonts w:hint="eastAsia" w:ascii="仿宋" w:hAnsi="仿宋" w:eastAsia="仿宋" w:cs="仿宋"/>
                <w:bCs/>
                <w:color w:val="000000"/>
                <w:sz w:val="24"/>
                <w:szCs w:val="24"/>
              </w:rPr>
              <w:t>序号</w:t>
            </w:r>
          </w:p>
        </w:tc>
        <w:tc>
          <w:tcPr>
            <w:tcW w:w="581" w:type="pct"/>
            <w:vAlign w:val="center"/>
          </w:tcPr>
          <w:p>
            <w:pPr>
              <w:autoSpaceDN w:val="0"/>
              <w:jc w:val="center"/>
              <w:textAlignment w:val="center"/>
              <w:rPr>
                <w:rFonts w:ascii="仿宋" w:hAnsi="仿宋" w:eastAsia="仿宋" w:cs="仿宋"/>
                <w:bCs/>
                <w:color w:val="000000"/>
                <w:sz w:val="24"/>
                <w:szCs w:val="24"/>
              </w:rPr>
            </w:pPr>
            <w:r>
              <w:rPr>
                <w:rFonts w:hint="eastAsia" w:ascii="仿宋" w:hAnsi="仿宋" w:eastAsia="仿宋" w:cs="仿宋"/>
                <w:bCs/>
                <w:color w:val="000000"/>
                <w:sz w:val="24"/>
                <w:szCs w:val="24"/>
              </w:rPr>
              <w:t>产品名称</w:t>
            </w:r>
          </w:p>
        </w:tc>
        <w:tc>
          <w:tcPr>
            <w:tcW w:w="3686" w:type="pct"/>
            <w:vAlign w:val="center"/>
          </w:tcPr>
          <w:p>
            <w:pPr>
              <w:autoSpaceDN w:val="0"/>
              <w:jc w:val="center"/>
              <w:textAlignment w:val="center"/>
              <w:rPr>
                <w:rFonts w:ascii="仿宋" w:hAnsi="仿宋" w:eastAsia="仿宋" w:cs="仿宋"/>
                <w:bCs/>
                <w:color w:val="000000"/>
                <w:sz w:val="24"/>
                <w:szCs w:val="24"/>
              </w:rPr>
            </w:pPr>
            <w:r>
              <w:rPr>
                <w:rFonts w:hint="eastAsia" w:ascii="仿宋" w:hAnsi="仿宋" w:eastAsia="仿宋" w:cs="仿宋"/>
                <w:bCs/>
                <w:color w:val="000000"/>
                <w:sz w:val="24"/>
                <w:szCs w:val="24"/>
              </w:rPr>
              <w:t>参数要求</w:t>
            </w:r>
          </w:p>
        </w:tc>
        <w:tc>
          <w:tcPr>
            <w:tcW w:w="394" w:type="pct"/>
            <w:vAlign w:val="center"/>
          </w:tcPr>
          <w:p>
            <w:pPr>
              <w:autoSpaceDN w:val="0"/>
              <w:jc w:val="center"/>
              <w:textAlignment w:val="center"/>
              <w:rPr>
                <w:rFonts w:ascii="仿宋" w:hAnsi="仿宋" w:eastAsia="仿宋" w:cs="仿宋"/>
                <w:bCs/>
                <w:color w:val="000000"/>
                <w:sz w:val="24"/>
                <w:szCs w:val="24"/>
              </w:rPr>
            </w:pPr>
            <w:r>
              <w:rPr>
                <w:rFonts w:hint="eastAsia" w:ascii="仿宋" w:hAnsi="仿宋" w:eastAsia="仿宋" w:cs="仿宋"/>
                <w:bCs/>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 w:type="pct"/>
            <w:vAlign w:val="center"/>
          </w:tcPr>
          <w:p>
            <w:pPr>
              <w:jc w:val="center"/>
              <w:rPr>
                <w:rFonts w:ascii="仿宋" w:hAnsi="仿宋" w:eastAsia="仿宋" w:cs="仿宋"/>
                <w:bCs/>
                <w:color w:val="000000"/>
                <w:sz w:val="24"/>
                <w:szCs w:val="24"/>
              </w:rPr>
            </w:pPr>
            <w:r>
              <w:rPr>
                <w:rFonts w:hint="eastAsia" w:ascii="仿宋" w:hAnsi="仿宋" w:eastAsia="仿宋" w:cs="仿宋"/>
                <w:color w:val="000000"/>
                <w:kern w:val="0"/>
                <w:sz w:val="24"/>
                <w:szCs w:val="24"/>
              </w:rPr>
              <w:t>1</w:t>
            </w:r>
          </w:p>
        </w:tc>
        <w:tc>
          <w:tcPr>
            <w:tcW w:w="581" w:type="pct"/>
            <w:vAlign w:val="center"/>
          </w:tcPr>
          <w:p>
            <w:pPr>
              <w:autoSpaceDN w:val="0"/>
              <w:jc w:val="center"/>
              <w:textAlignment w:val="center"/>
              <w:rPr>
                <w:rFonts w:ascii="仿宋" w:hAnsi="仿宋" w:eastAsia="仿宋" w:cs="仿宋"/>
                <w:bCs/>
                <w:color w:val="000000"/>
                <w:sz w:val="24"/>
                <w:szCs w:val="24"/>
              </w:rPr>
            </w:pPr>
            <w:r>
              <w:rPr>
                <w:rFonts w:hint="eastAsia" w:ascii="仿宋" w:hAnsi="仿宋" w:eastAsia="仿宋" w:cs="仿宋"/>
                <w:color w:val="000000"/>
                <w:sz w:val="24"/>
                <w:szCs w:val="24"/>
              </w:rPr>
              <w:t>多生物特征信息采集平台</w:t>
            </w:r>
          </w:p>
        </w:tc>
        <w:tc>
          <w:tcPr>
            <w:tcW w:w="3686" w:type="pct"/>
            <w:vAlign w:val="center"/>
          </w:tcPr>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1、控制台外部尺寸：长度≥1800mm；宽度≥920mm；高度≥820mm（高度为桌面高度），能够分体搬运安装，满足不同安装环境要求。除身高足长体重设备单独摆设以外，其他设备均内置于一体化采集工作台内，有效防尘和防水，避免设备损伤；台面采用木质面板和钢板结合，冷轧钢板厚≥1 mm，主体结构钢板厚度≥1.5mm,表面防刻划、防酸、耐磨、耐用、易清洁；人像采集相机杆采用铝合金材质，可通过被采集身高自动控制照相设备升降，升降行程500mm，可调节上、下、左、右方向；键盘使用桌面下方活动托盘；采集柜桌面集成随身物品采集区域；该区域包含刻度尺，刻度尺范围≥L300mm*W300mm,最小刻度为1mm。</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2、所预留的内部位置能够安装工控机、打印机、显示器、指掌纹采集仪、银行卡采集器、手机信息采集仪、二代证阅读器；显示器、指掌纹采集仪、二代证阅读器采用嵌入式安装；控制台台面及柜体各处边缘全部做圆弧处理；工作环境：温度-15ºC-40ºC 湿度≤90%；存储环境：温度-5ºC-50ºC湿度≤75%；硬件可以集成：工控机、二代证采集仪、数码相机、升降台、随身物品采集仪、手机采集仪、银行卡采集仪。</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3、配置自动升降杆1根、控制器1个、电源1个、数据线1根、支架1个、假电池1块、专用人像采集设备适配器1个、PDU1个、采集室规范牌1块、流程牌1块、制度牌1块、质量标准牌1块。自动升降杆控制升降，可自动或人工调节高度；设计遵循人体工程学原理，符合工作人员操作习惯，操作简易方便；整体采用模块化结构设计，各个模块都具有防冲击、防人为破坏的结构设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人像采集模块，传感器类型：CMOS；显示尺寸≥3英寸，显示像素≥46万像素；闪光灯类型：内置；传感器尺寸APS画幅，有效像素≥1800万，最高分辨率≥5184×3456；高清摄像：全高清≥1080；镜头类型：伸缩式，等效35mm焦距27-83mm；对焦点数：9点（中央为对应F5.6的十字型自动对焦）；存储卡类型SD/SDHC/SDXC卡；文件格式图片：JPEG，RAW，RAW+JPEG，视频：MOV；HDMI接口支持，其它接口USB2.0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5、工控机模块：4U标准上架型整机，内嵌式设计，处理器：≥I7 3770；内存容量：≥8G DDR3；固态硬盘：≥500G；机械硬盘：≥1T；USB数量：≥10。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采集室配套设备，包含采集室规范牌、流程牌、制度牌、质量标准牌；电子身高体重足长信息采集仪：用于采集身高体重足长，且自动测量及读取数据；体重测量范围：10kg-200kg，分度0.1kg；身高测量范围：120cm-200cm，分度：0.5cm；足长测量范围：15cm-36cm，分度为2.5mm；3组1寸数码管分别显示：身高、体重、足长。</w:t>
            </w:r>
          </w:p>
        </w:tc>
        <w:tc>
          <w:tcPr>
            <w:tcW w:w="394" w:type="pct"/>
            <w:vAlign w:val="center"/>
          </w:tcPr>
          <w:p>
            <w:pPr>
              <w:autoSpaceDN w:val="0"/>
              <w:jc w:val="center"/>
              <w:textAlignment w:val="center"/>
              <w:rPr>
                <w:rFonts w:ascii="仿宋" w:hAnsi="仿宋" w:eastAsia="仿宋"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6" w:hRule="atLeast"/>
          <w:jc w:val="center"/>
        </w:trPr>
        <w:tc>
          <w:tcPr>
            <w:tcW w:w="336" w:type="pct"/>
            <w:vAlign w:val="center"/>
          </w:tcPr>
          <w:p>
            <w:pPr>
              <w:widowControl/>
              <w:jc w:val="center"/>
              <w:rPr>
                <w:rFonts w:ascii="仿宋" w:hAnsi="仿宋" w:eastAsia="仿宋" w:cs="仿宋"/>
                <w:bCs/>
                <w:color w:val="000000"/>
                <w:sz w:val="24"/>
                <w:szCs w:val="24"/>
              </w:rPr>
            </w:pPr>
            <w:r>
              <w:rPr>
                <w:rFonts w:hint="eastAsia" w:ascii="仿宋" w:hAnsi="仿宋" w:eastAsia="仿宋" w:cs="仿宋"/>
                <w:color w:val="000000"/>
                <w:kern w:val="0"/>
                <w:sz w:val="24"/>
                <w:szCs w:val="24"/>
              </w:rPr>
              <w:t>2</w:t>
            </w:r>
          </w:p>
        </w:tc>
        <w:tc>
          <w:tcPr>
            <w:tcW w:w="581" w:type="pct"/>
            <w:vAlign w:val="center"/>
          </w:tcPr>
          <w:p>
            <w:pPr>
              <w:autoSpaceDN w:val="0"/>
              <w:jc w:val="center"/>
              <w:textAlignment w:val="center"/>
              <w:rPr>
                <w:rFonts w:ascii="仿宋" w:hAnsi="仿宋" w:eastAsia="仿宋" w:cs="仿宋"/>
                <w:bCs/>
                <w:color w:val="000000"/>
                <w:sz w:val="24"/>
                <w:szCs w:val="24"/>
              </w:rPr>
            </w:pPr>
            <w:r>
              <w:rPr>
                <w:rFonts w:hint="eastAsia" w:ascii="仿宋" w:hAnsi="仿宋" w:eastAsia="仿宋" w:cs="仿宋"/>
                <w:sz w:val="24"/>
                <w:szCs w:val="24"/>
              </w:rPr>
              <w:t>人员信息布控管理软件</w:t>
            </w:r>
          </w:p>
        </w:tc>
        <w:tc>
          <w:tcPr>
            <w:tcW w:w="3686" w:type="pct"/>
            <w:vAlign w:val="center"/>
          </w:tcPr>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1、软件可以无缝整合采集人员的指纹数据、掌纹数据、人脸（三面照）数据、足迹数据、手机数据、随身物品采集数据、银行卡数据。</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2、具体功能如下：</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2.1采集指掌纹：平面指纹（上下拼接）、滚动指纹（三面滚动）、掌心掌纹、侧掌纹等的智能采集，在一定程度上自动适应各种类型的指掌纹，如干湿程度不同的人群等。</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2.2软件自动驱动足迹采集设备，在不用退回windows桌面的情况下可单独打开足迹采集系统，平台软件中的足迹采集界面上无需填写任何文字信息，并以引导采集的方式提示民警对嫌疑人的足迹进行采集，且在采集后自动将人员详细信息复用给上级已建的足迹系统，最后完成提交。</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2.3软件会自动将人员信息传递给相应的手机采集系统，并打开手机采集界面，提示民警在该界面对嫌疑人的手机进行采集，采集的手机信息会自动保存到当地已建的手机采集平台中，采集完成后再将手机系统中的人员编号传回警综，系统中包含的所有系统软件实现无缝整合，按照采集流程自动调用软件，再由该软件对各种硬件进行自动驱动以进行各种生物信息的采集；软件按采集顺序会自动调用相机，实现违法人员三面照的智能采集，具体软件功能包括：检测图像中是否有人脸，若有人脸，则自动定位眼睛位置，判断人脸双眼间距是否过小；判断人脸图像的模糊程度、曝光程度、对比度等是否符合要求；判断人脸图像是否存在阴阳脸、姿态是否是正面；判断检测到的人脸图像眼睛是否闭合，对眼睛闭合的人脸图像给出提示；判断检测到的人脸图像是否佩戴眼镜、眼镜是否有反光；根据指定的人脸标准化模板对检测到的人脸图像标准化，输出标准大小的人脸图像；根据人脸单项质量分值，计算出人脸综合质量评分。</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3、软件必须实现以下要求：将人员信息采集过程中的足迹采集软件、人脸采集软件、指纹采集软件、掌纹采集软件、银行卡采集软件对接为一体；五项采集内容必须对接到人员信息采集平台软件不得缺项；不需民警再返回桌面手工独立启动各采集应用程序并且不需要再单独登录，只能由本软件在采集过程中以引导的方式引导民警进行流程化采集。</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4、软件提供十指指纹管理，功能须包含：指纹质量检查、不合格指纹管理、重卡管理、比中案件管理、人像比对任务管理，</w:t>
            </w:r>
            <w:r>
              <w:rPr>
                <w:rFonts w:hint="eastAsia" w:ascii="仿宋" w:hAnsi="仿宋" w:eastAsia="仿宋" w:cs="仿宋"/>
                <w:kern w:val="0"/>
                <w:sz w:val="24"/>
                <w:szCs w:val="24"/>
              </w:rPr>
              <w:t>所有功能须在十指指纹管理同一页面下展示，不允许各功能单独弹出页面</w:t>
            </w:r>
            <w:r>
              <w:rPr>
                <w:rFonts w:hint="eastAsia" w:ascii="仿宋" w:hAnsi="仿宋" w:eastAsia="仿宋" w:cs="仿宋"/>
                <w:color w:val="000000"/>
                <w:kern w:val="0"/>
                <w:sz w:val="24"/>
                <w:szCs w:val="24"/>
              </w:rPr>
              <w:t>。</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5、软件提供采集管理，功能须包含：人员信息综合查询、人员照片查看、客户端工作量统计、比中案件统计、比中前科统计、比中轨迹统计，所有功能须在采集管理同一页面下展示，不允许单独弹出页面。</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6、软件提供布控平台，功能须包含：十指指纹布控、布控比中管理。布控信息列表须包含序号、布控身份证号、布控指纹编号、布控人姓名、案件类别、布控时间、布控单位、布控原因、布控联系人、联系手机号码、审核、注销，所有功能须在布控平台同一页面下展示，不允许单独弹出页面。</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7、软件提供系统管理，功能须包含：用户登录日志、信息发布、用户管理、角色管理、字典管理、实时运营状态查询、消息管理、查询字段管理、采集质量监督、用户手册，用户登录日志须包含序号、用户单位、IP、登录时间、警员号、登录用户、服务器信息，所有功能须在系统管理同一页面下展示，不允许单独弹出页面。</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8、软件采集到的人员指纹数据将自动发起比对，实时将指纹数据比中结果反馈到软件，并在采集端屏幕右下角以软件图标闪动的形式提示用户查看该人员指纹数据比中结果。用户双击采集端屏幕右下角的闪动图标，即可打开查看到比中信息。</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9、两图三照查询功能，根据案件编号查询本地现勘关联录入情况，“两图三照”录入情况等，可实现单个EXECL查询及批量EXECL查询功能，并导出对应结果，结果文件中自动生成抽查总数、未关联现场数、不合格现场数及其他勘验录入项目等。</w:t>
            </w:r>
          </w:p>
        </w:tc>
        <w:tc>
          <w:tcPr>
            <w:tcW w:w="394" w:type="pct"/>
            <w:vAlign w:val="center"/>
          </w:tcPr>
          <w:p>
            <w:pPr>
              <w:autoSpaceDN w:val="0"/>
              <w:jc w:val="center"/>
              <w:textAlignment w:val="center"/>
              <w:rPr>
                <w:rFonts w:ascii="仿宋" w:hAnsi="仿宋" w:eastAsia="仿宋"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 w:type="pct"/>
            <w:vAlign w:val="center"/>
          </w:tcPr>
          <w:p>
            <w:pPr>
              <w:widowControl/>
              <w:jc w:val="center"/>
              <w:rPr>
                <w:rFonts w:ascii="仿宋" w:hAnsi="仿宋" w:eastAsia="仿宋" w:cs="仿宋"/>
                <w:bCs/>
                <w:color w:val="000000"/>
                <w:sz w:val="24"/>
                <w:szCs w:val="24"/>
              </w:rPr>
            </w:pPr>
            <w:r>
              <w:rPr>
                <w:rFonts w:hint="eastAsia" w:ascii="仿宋" w:hAnsi="仿宋" w:eastAsia="仿宋" w:cs="仿宋"/>
                <w:color w:val="000000"/>
                <w:kern w:val="0"/>
                <w:sz w:val="24"/>
                <w:szCs w:val="24"/>
              </w:rPr>
              <w:t>3</w:t>
            </w:r>
          </w:p>
        </w:tc>
        <w:tc>
          <w:tcPr>
            <w:tcW w:w="581" w:type="pct"/>
            <w:vAlign w:val="center"/>
          </w:tcPr>
          <w:p>
            <w:pPr>
              <w:autoSpaceDN w:val="0"/>
              <w:jc w:val="center"/>
              <w:textAlignment w:val="center"/>
              <w:rPr>
                <w:rFonts w:ascii="仿宋" w:hAnsi="仿宋" w:eastAsia="仿宋" w:cs="仿宋"/>
                <w:bCs/>
                <w:color w:val="000000"/>
                <w:sz w:val="24"/>
                <w:szCs w:val="24"/>
              </w:rPr>
            </w:pPr>
            <w:r>
              <w:rPr>
                <w:rFonts w:hint="eastAsia" w:ascii="仿宋" w:hAnsi="仿宋" w:eastAsia="仿宋" w:cs="仿宋"/>
                <w:color w:val="000000"/>
                <w:sz w:val="24"/>
                <w:szCs w:val="24"/>
              </w:rPr>
              <w:t>指掌纹采集系统</w:t>
            </w:r>
          </w:p>
        </w:tc>
        <w:tc>
          <w:tcPr>
            <w:tcW w:w="3686" w:type="pct"/>
            <w:vAlign w:val="center"/>
          </w:tcPr>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1、指掌纹采集仪</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1.1平面掌纹采集窗口≥118.9 mm x 118.9 mm；指纹有效图像尺寸≥32.5 mm x 32.5 mm ±0.4 mm；图像分辨率500dpi（误差±1%）；图像灰度级为指纹图像的每个像素点灰度量化为256级，图像数据位为一个无符号的8位字节；图像像素数为640像素×640像素；图像中心偏差为X、Y方向均≤15像素；图像背景灰度值225-255；图像背景灰度不均匀度≤10%；灰度动态范围≥180级；环境光≤300Lx可正常采集图像；掌纹采集速度≥2帧/S；采集方式为应用光学原理或其他原理的面阵传感器实现；图像畸变≤1%。</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1.2活体指掌纹采集仪采集窗口不覆膜；指纹采集和掌纹采集为一体化设备；采集高清晰暗背景光学成像系统；采用大面阵掌纹采集技术，生成无拼接掌纹图像；具备电加热除雾功能；采集指掌纹：平面指纹（上下拼接）、滚动指纹（三面滚动）、掌心掌纹、侧掌纹等的智能采集，在一定程度上自动适应各种类型的指掌纹，如干湿程度不同的人群等，具备电加热功能。</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1.3平面指纹采集上下拼接，能采集到完整的指尖部分。</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2、指掌纹采集软件</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2.1具备十指滚动指纹采集、十指平面指纹采集、掌纹采集、侧掌采集功能；支持指纹采集、图像拼接，支持掌纹采集、图像拼接；支持指掌纹远程入库，支持指纹前科库查重结果反馈，自动鉴定。</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2.2查重结果自动反馈采集前端；具备指纹采集重复自动判断报错功能；具备采集指纹图像质量分值判定以及指纹图像质量不合格提示功能；具备残缺指设置功能；具备采集质量不合格原因设置功能；具备指位取消后重新采集功能。</w:t>
            </w:r>
          </w:p>
        </w:tc>
        <w:tc>
          <w:tcPr>
            <w:tcW w:w="394" w:type="pct"/>
            <w:vAlign w:val="center"/>
          </w:tcPr>
          <w:p>
            <w:pPr>
              <w:autoSpaceDN w:val="0"/>
              <w:jc w:val="center"/>
              <w:textAlignment w:val="center"/>
              <w:rPr>
                <w:rFonts w:ascii="仿宋" w:hAnsi="仿宋" w:eastAsia="仿宋"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581" w:type="pct"/>
            <w:vAlign w:val="center"/>
          </w:tcPr>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通讯设备全数据采集系统</w:t>
            </w:r>
          </w:p>
        </w:tc>
        <w:tc>
          <w:tcPr>
            <w:tcW w:w="3686" w:type="pct"/>
            <w:vAlign w:val="center"/>
          </w:tcPr>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一、性能参数</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≧I9，≧64G内存，≧2TB存储空间。</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二、功能参数</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1、支持通过多种连接通道（数据线、蓝牙、WiFi、SIM卡）实现数据智能提取，自动加载手机驱动，智能识别品牌机和智能机型号、操作系统等信息，智能化一键式提取。智能提取助手，可根据型号检索各类手机操作系统类别、上市时间、CPU类型、读取方式、手机图片、数据接口及手机设置步骤，推荐提取方式，智能引导快捷完成数据提取。</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支持提取手机基本信息、存储文件和应用信息，包括常用APP与重点关注的高危敏感APP以及应用分身信息。产品支持多个案件手机并行提取，支持3路并行智能提取。</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2、智能提取</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通过多种连接方式（须具备数据线、WIFI、蓝牙）实现手机数据智能提取，可自动加载手机驱动，可识别品牌机型号、操作系统等信息，可一键式提取，可WiFi无线备份提取华为、小米、OPPO、vivo品牌手机应用数据。</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3、支持SIM卡数据提取：通讯录、短信息、运营商、SIM串号、SIM识别码；支持iOS备份文件解析，在已知密码情况下实现对加密备份文件的解析；支持Android备份文件解析，支持ADB备份解析，支持主流安卓手机品牌自带备份工具备份解析，包含华为、荣耀、小米、OPPO、魅族等14个以上主流品牌；支持华为OTG备份文件解析；支持镜像文件解析，包含Android、iPhone、国产功能机等镜像文件解析；应用数据文件解析，包含QQ、微信、陌陌、邮箱等200款以上应用数据文件解析。</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支持解析检材基本信息、存储文件和应用信息</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基本信息：IMEI、IMSI、SIM卡ICCID、MAC地址、本机号码、通讯录、通话记录、短信息、备忘录、日历、系统日志等；</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4、应用分身</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支持QQ、微信、陌陌应用分身数据及分身应用列表的提取；</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支持华为系统分身、OPPO系统分身、vivo系统分身、分身大师（上海云致）、分身大师（北京奇虎）、分身大师多开版、双开助手(多开分身)、双开小助手、X-分身、微信领袖、平行空间、悟空分身等20款以上分身工具。</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5、数据恢复</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支持恢复苹果、华为、vivo、OPPO、小米、诺基亚、摩托罗拉等170个以上国内外品牌手机、非品牌功能机等手机机身通讯录、通话记录、短信、日历、记事本、系统日志等基本信息中已有数据的提取及删除数据的恢复；</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支持提取手机应用程序已有的数据和恢复手机应用程序中已删除的文字、语音、视频、文档等数据，手机应用程序包括QQ、微信、TIM、钉钉、陌陌、Facebook等200款以上应用程序；</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支持Android手机基于镜像的深度恢复已删除数据及文件，包括图片、视频、音频、XML、PDF、doc、docx、xls、xlsx、ZIP、HTML、sqlite db等文件。</w:t>
            </w:r>
          </w:p>
        </w:tc>
        <w:tc>
          <w:tcPr>
            <w:tcW w:w="394" w:type="pct"/>
            <w:vAlign w:val="center"/>
          </w:tcPr>
          <w:p>
            <w:pPr>
              <w:autoSpaceDN w:val="0"/>
              <w:jc w:val="center"/>
              <w:textAlignment w:val="center"/>
              <w:rPr>
                <w:rFonts w:ascii="仿宋" w:hAnsi="仿宋" w:eastAsia="仿宋"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581" w:type="pct"/>
            <w:vAlign w:val="center"/>
          </w:tcPr>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足迹采集系统</w:t>
            </w:r>
          </w:p>
        </w:tc>
        <w:tc>
          <w:tcPr>
            <w:tcW w:w="3686" w:type="pct"/>
            <w:vAlign w:val="center"/>
          </w:tcPr>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1、输出端口：标准USB3.0接口；</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2、电源：DC12V、2A直流电源；</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3、光源：LED光源；</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4、成像分辨率：≥300DPI；</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5、赤足足迹：支持赤足足迹结构特征、压力面特征采集</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6、采集范围：≥350mm×150mm；</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7、单片成像膜可使用≥2000次。</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8、鞋面图像：支持同时采集4个角度鞋面信息，包括鞋面外侧、内侧、斜前侧、斜后侧；</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9、鞋面图像捕获幅面：≥1280×960；</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10、鞋面图像像素数：≥100万；</w:t>
            </w:r>
          </w:p>
        </w:tc>
        <w:tc>
          <w:tcPr>
            <w:tcW w:w="394" w:type="pct"/>
            <w:vAlign w:val="center"/>
          </w:tcPr>
          <w:p>
            <w:pPr>
              <w:autoSpaceDN w:val="0"/>
              <w:jc w:val="center"/>
              <w:textAlignment w:val="center"/>
              <w:rPr>
                <w:rFonts w:ascii="仿宋" w:hAnsi="仿宋" w:eastAsia="仿宋"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581" w:type="pct"/>
            <w:vAlign w:val="center"/>
          </w:tcPr>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声纹采集设备</w:t>
            </w:r>
          </w:p>
        </w:tc>
        <w:tc>
          <w:tcPr>
            <w:tcW w:w="3686" w:type="pct"/>
            <w:vAlign w:val="center"/>
          </w:tcPr>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一、功能要求</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1.声纹采集：具备高精度、高品质的录音功能，并能够定向采集目标发言人的语音信息，保存高保真语音样本。</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2.信息采集：支持目标人员信息采集，包括人员基本信息、类别、案件类型等；支持自动过滤问话人语音，只保留目标人语音；支持采集信息分类列表展示，包括未采集、已采集、无效采集等；支持上报信息统计并分时间段列表展示。</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3.质量检测: 支持声音波形图的实时显示；支持语音数据质量检测实时显示并及时提醒录入语音的有效性。</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4.语音上报：支持采集到的语音和人员信息提交上报；离线采集时，支持系统联网后上报。</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二、技术指标</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5.设备外观：设备采用集成化设计，小巧便携，外形美观，能够适配多种采集场景。</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6.运行环境：设备通过USB接口连接在客户端电脑上，通过驱动程序进行控制，兼容WindowsXP/7/10等多版本操纵系统。</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7.采集距离：有效采集距离支持0.6-1米的远场采集。</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8.角色分离：支持交谈模式下声纹数据采集，定向采集目标发言人语音，准确分离问答双方。</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9.断点续录：采集过程中，若声纹采集设备断开连接，采集软件自动暂停录音，设备连接正后，即可继续录音，无需重新采集。</w:t>
            </w:r>
          </w:p>
        </w:tc>
        <w:tc>
          <w:tcPr>
            <w:tcW w:w="394" w:type="pct"/>
            <w:vAlign w:val="center"/>
          </w:tcPr>
          <w:p>
            <w:pPr>
              <w:autoSpaceDN w:val="0"/>
              <w:jc w:val="center"/>
              <w:textAlignment w:val="center"/>
              <w:rPr>
                <w:rFonts w:ascii="仿宋" w:hAnsi="仿宋" w:eastAsia="仿宋"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581" w:type="pct"/>
            <w:vAlign w:val="center"/>
          </w:tcPr>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虹膜采集设备</w:t>
            </w:r>
          </w:p>
        </w:tc>
        <w:tc>
          <w:tcPr>
            <w:tcW w:w="3686" w:type="pct"/>
            <w:vAlign w:val="center"/>
          </w:tcPr>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1、工作应用方式：支持在线和离线采集；</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2、图像采集效率：单人单次采集时间不超过5秒；</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3、虹膜图像质量：虹膜直径满足200个像素以上；</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4、光线影响：有效屏蔽外界光线影响；</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5、识别方式：双目/单目；</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6、釆集方式：接触式自动触发；</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7、设备接口：支持USB接口供电和数据传输；</w:t>
            </w:r>
          </w:p>
          <w:p>
            <w:pPr>
              <w:autoSpaceDN w:val="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8、操作提示：在虹膜采集过程中具有光学向导、语音提示；</w:t>
            </w:r>
          </w:p>
        </w:tc>
        <w:tc>
          <w:tcPr>
            <w:tcW w:w="394" w:type="pct"/>
            <w:vAlign w:val="center"/>
          </w:tcPr>
          <w:p>
            <w:pPr>
              <w:autoSpaceDN w:val="0"/>
              <w:jc w:val="center"/>
              <w:textAlignment w:val="center"/>
              <w:rPr>
                <w:rFonts w:ascii="仿宋" w:hAnsi="仿宋" w:eastAsia="仿宋" w:cs="仿宋"/>
                <w:bCs/>
                <w:color w:val="000000"/>
                <w:sz w:val="24"/>
                <w:szCs w:val="24"/>
              </w:rPr>
            </w:pPr>
          </w:p>
        </w:tc>
      </w:tr>
    </w:tbl>
    <w:p>
      <w:pPr>
        <w:outlineLvl w:val="0"/>
        <w:rPr>
          <w:rFonts w:ascii="方正仿宋_GBK" w:hAnsi="方正仿宋_GBK" w:eastAsia="方正仿宋_GBK" w:cs="方正仿宋_GBK"/>
          <w:b/>
          <w:bCs/>
          <w:color w:val="000000"/>
          <w:sz w:val="28"/>
          <w:szCs w:val="28"/>
          <w:u w:val="single"/>
        </w:rPr>
      </w:pPr>
      <w:r>
        <w:rPr>
          <w:rFonts w:hint="eastAsia" w:ascii="方正仿宋_GBK" w:hAnsi="方正仿宋_GBK" w:eastAsia="方正仿宋_GBK" w:cs="方正仿宋_GBK"/>
          <w:b/>
          <w:bCs/>
          <w:color w:val="000000"/>
          <w:sz w:val="28"/>
          <w:szCs w:val="28"/>
        </w:rPr>
        <w:t>核心产品：</w:t>
      </w:r>
      <w:r>
        <w:rPr>
          <w:rFonts w:hint="eastAsia" w:ascii="方正仿宋_GBK" w:hAnsi="方正仿宋_GBK" w:eastAsia="方正仿宋_GBK" w:cs="方正仿宋_GBK"/>
          <w:b/>
          <w:bCs/>
          <w:color w:val="000000"/>
          <w:sz w:val="28"/>
          <w:szCs w:val="28"/>
          <w:u w:val="single"/>
        </w:rPr>
        <w:t>指掌纹采集系统。</w:t>
      </w:r>
    </w:p>
    <w:p>
      <w:pPr>
        <w:ind w:firstLine="562" w:firstLineChars="200"/>
        <w:outlineLvl w:val="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四、商务要求</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1.交货时间及地点</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（1）交货时间:</w:t>
      </w:r>
      <w:r>
        <w:rPr>
          <w:rFonts w:hint="eastAsia" w:ascii="方正仿宋_GBK" w:hAnsi="方正仿宋_GBK" w:eastAsia="方正仿宋_GBK" w:cs="方正仿宋_GBK"/>
          <w:sz w:val="28"/>
          <w:szCs w:val="28"/>
        </w:rPr>
        <w:t>合同签订后30个自然天内完成</w:t>
      </w:r>
      <w:r>
        <w:rPr>
          <w:rFonts w:hint="eastAsia" w:ascii="方正仿宋_GBK" w:hAnsi="方正仿宋_GBK" w:eastAsia="方正仿宋_GBK" w:cs="方正仿宋_GBK"/>
          <w:kern w:val="0"/>
          <w:sz w:val="28"/>
          <w:szCs w:val="28"/>
        </w:rPr>
        <w:t>。</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（2）交货地点:采购人指定地点。</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2.报价要求</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rPr>
        <w:t>此项目报价应是最终验收合格后的总价，其总价即为履行合同的固定价格。包括相关内容运输、安装、调试、检验、相关税金等费用以及询价通知书规定的其他费用均应包含在报价中；</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3.售后服务要求：</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产品质量售后：产品使用时，出现质量问题，采购人做好记录并通知供应商，供应商应在2小时内响应，24小时内到场，48小时内解决问题。</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4.付款方式：</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合同签订后5个工作日内支付合同总金额的40%为预付款，所有货物交付，安装调试且验收合格后5个工作日内，采购人向成交供应商支付合同总金额的60</w:t>
      </w:r>
      <w:r>
        <w:rPr>
          <w:rFonts w:hint="eastAsia" w:ascii="方正仿宋_GBK" w:hAnsi="方正仿宋_GBK" w:eastAsia="方正仿宋_GBK" w:cs="方正仿宋_GBK"/>
          <w:sz w:val="28"/>
        </w:rPr>
        <w:t>%</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color w:val="0000FF"/>
          <w:kern w:val="0"/>
          <w:sz w:val="28"/>
          <w:szCs w:val="28"/>
        </w:rPr>
        <w:t xml:space="preserve"> </w:t>
      </w:r>
    </w:p>
    <w:p>
      <w:pPr>
        <w:ind w:firstLine="560" w:firstLineChars="200"/>
      </w:pPr>
      <w:r>
        <w:rPr>
          <w:rFonts w:hint="eastAsia" w:ascii="方正仿宋_GBK" w:eastAsia="方正仿宋_GBK" w:cs="方正仿宋_GBK"/>
          <w:sz w:val="28"/>
          <w:szCs w:val="28"/>
        </w:rPr>
        <w:t>5.供应商须提供全新的货物，产品必须完好无损，且权属清楚，不得侵害他人的知识产权</w:t>
      </w:r>
      <w:r>
        <w:rPr>
          <w:rFonts w:hint="eastAsia"/>
        </w:rPr>
        <w:t>。</w:t>
      </w:r>
    </w:p>
    <w:p>
      <w:pPr>
        <w:spacing w:line="360" w:lineRule="auto"/>
        <w:ind w:firstLine="560" w:firstLineChars="200"/>
        <w:rPr>
          <w:rFonts w:ascii="方正仿宋_GBK" w:eastAsia="方正仿宋_GBK" w:cs="方正仿宋_GBK"/>
          <w:sz w:val="28"/>
          <w:szCs w:val="28"/>
        </w:rPr>
      </w:pPr>
      <w:r>
        <w:rPr>
          <w:rFonts w:hint="eastAsia" w:ascii="方正仿宋_GBK" w:eastAsia="方正仿宋_GBK" w:cs="方正仿宋_GBK"/>
          <w:sz w:val="28"/>
          <w:szCs w:val="28"/>
        </w:rPr>
        <w:t>6.质保期1年，</w:t>
      </w:r>
      <w:r>
        <w:rPr>
          <w:rFonts w:ascii="方正仿宋_GBK" w:eastAsia="方正仿宋_GBK" w:cs="方正仿宋_GBK"/>
          <w:sz w:val="28"/>
          <w:szCs w:val="28"/>
        </w:rPr>
        <w:t>自验收合格之日计算，</w:t>
      </w:r>
      <w:r>
        <w:rPr>
          <w:rFonts w:hint="eastAsia" w:ascii="方正仿宋_GBK" w:eastAsia="方正仿宋_GBK" w:cs="方正仿宋_GBK"/>
          <w:sz w:val="28"/>
          <w:szCs w:val="28"/>
        </w:rPr>
        <w:t>质保期间非人为损坏</w:t>
      </w:r>
      <w:r>
        <w:rPr>
          <w:rFonts w:ascii="方正仿宋_GBK" w:eastAsia="方正仿宋_GBK" w:cs="方正仿宋_GBK"/>
          <w:sz w:val="28"/>
          <w:szCs w:val="28"/>
        </w:rPr>
        <w:t>成交供应商需48小时内</w:t>
      </w:r>
      <w:r>
        <w:rPr>
          <w:rFonts w:hint="eastAsia" w:ascii="方正仿宋_GBK" w:eastAsia="方正仿宋_GBK" w:cs="方正仿宋_GBK"/>
          <w:sz w:val="28"/>
          <w:szCs w:val="28"/>
        </w:rPr>
        <w:t>免费维修，</w:t>
      </w:r>
      <w:r>
        <w:rPr>
          <w:rFonts w:ascii="方正仿宋_GBK" w:eastAsia="方正仿宋_GBK" w:cs="方正仿宋_GBK"/>
          <w:sz w:val="28"/>
          <w:szCs w:val="28"/>
        </w:rPr>
        <w:t>两次维修后仍无法正常使用的成交供应商需3个工作日内</w:t>
      </w:r>
      <w:r>
        <w:rPr>
          <w:rFonts w:hint="eastAsia" w:ascii="方正仿宋_GBK" w:eastAsia="方正仿宋_GBK" w:cs="方正仿宋_GBK"/>
          <w:sz w:val="28"/>
          <w:szCs w:val="28"/>
        </w:rPr>
        <w:t>免费换新。</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7.其余事项以合同约定为准。</w:t>
      </w:r>
    </w:p>
    <w:p>
      <w:pPr>
        <w:spacing w:line="360" w:lineRule="auto"/>
        <w:ind w:firstLine="562" w:firstLineChars="200"/>
        <w:outlineLvl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五、验收要求</w:t>
      </w:r>
    </w:p>
    <w:p>
      <w:pPr>
        <w:pStyle w:val="2"/>
        <w:ind w:firstLine="560" w:firstLineChars="200"/>
      </w:pPr>
      <w:r>
        <w:rPr>
          <w:rFonts w:hint="eastAsia" w:ascii="方正仿宋_GBK" w:hAnsi="方正仿宋_GBK" w:eastAsia="方正仿宋_GBK" w:cs="方正仿宋_GBK"/>
          <w:sz w:val="28"/>
          <w:szCs w:val="28"/>
        </w:rPr>
        <w:t>1.采购人验收根据《财政部关于进一步加强政府采购需求和履约验收管理的指导意见》(财库〔2016〕205号)和《巴中市财政局关于进一步加强政府采购项目合同履约验收管理工作的通知》（巴财采〔2021〕21号）的规定进行验收。</w:t>
      </w:r>
    </w:p>
    <w:p>
      <w:pPr>
        <w:pStyle w:val="3"/>
        <w:rPr>
          <w:rFonts w:ascii="方正仿宋_GBK" w:hAnsi="方正仿宋_GBK"/>
          <w:sz w:val="28"/>
          <w:szCs w:val="28"/>
        </w:rPr>
        <w:sectPr>
          <w:footerReference r:id="rId5" w:type="default"/>
          <w:pgSz w:w="11906" w:h="16838"/>
          <w:pgMar w:top="1440" w:right="1800" w:bottom="1440" w:left="1800" w:header="851" w:footer="992" w:gutter="0"/>
          <w:cols w:space="720" w:num="1"/>
          <w:docGrid w:type="lines" w:linePitch="312" w:charSpace="0"/>
        </w:sectPr>
      </w:pPr>
    </w:p>
    <w:p>
      <w:pPr>
        <w:pStyle w:val="3"/>
        <w:rPr>
          <w:rFonts w:ascii="方正仿宋_GBK" w:hAnsi="方正仿宋_GBK"/>
          <w:sz w:val="28"/>
          <w:szCs w:val="28"/>
        </w:rPr>
      </w:pPr>
      <w:r>
        <w:rPr>
          <w:rFonts w:hint="eastAsia" w:ascii="方正仿宋_GBK" w:hAnsi="方正仿宋_GBK"/>
          <w:sz w:val="28"/>
          <w:szCs w:val="28"/>
        </w:rPr>
        <w:t>四、响应文件要求</w:t>
      </w:r>
      <w:bookmarkEnd w:id="10"/>
      <w:bookmarkEnd w:id="11"/>
      <w:bookmarkEnd w:id="12"/>
    </w:p>
    <w:p>
      <w:pPr>
        <w:pStyle w:val="4"/>
        <w:rPr>
          <w:sz w:val="28"/>
          <w:szCs w:val="28"/>
        </w:rPr>
      </w:pPr>
      <w:r>
        <w:rPr>
          <w:rFonts w:hint="eastAsia"/>
          <w:sz w:val="28"/>
          <w:szCs w:val="28"/>
        </w:rPr>
        <w:t>（一）资格响应部分</w:t>
      </w:r>
    </w:p>
    <w:tbl>
      <w:tblPr>
        <w:tblStyle w:val="22"/>
        <w:tblW w:w="482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15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2155"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资格要求</w:t>
            </w:r>
          </w:p>
        </w:tc>
        <w:tc>
          <w:tcPr>
            <w:tcW w:w="53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
                <w:bCs/>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具有独立承担民事责任的能力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2.提供法定代表人/负责人身份证明书（含法定代表人/负责人身份证明材料）；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3.供应商派出参加采购活动的代表不是法定代表人或负责人的，应提供授权代表的《授权委托书》及其身份证明材料。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具有良好的商业信誉和健全的财务会计制度</w:t>
            </w:r>
          </w:p>
        </w:tc>
        <w:tc>
          <w:tcPr>
            <w:tcW w:w="5388" w:type="dxa"/>
            <w:shd w:val="clear" w:color="auto" w:fill="FFFFFF"/>
            <w:vAlign w:val="center"/>
          </w:tcPr>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（1）提供具有良好商业信誉的承诺函；</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（2）提供财务状况报告（以下三任选其一）：</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a.提供2021年度或2022年度经会计师事务所审计的完整财务报告复印件或提供银行出具的有效期内的资信证明复印件；</w:t>
            </w:r>
          </w:p>
          <w:p>
            <w:pPr>
              <w:spacing w:line="360" w:lineRule="auto"/>
              <w:jc w:val="left"/>
              <w:rPr>
                <w:rFonts w:eastAsia="方正仿宋_GBK"/>
              </w:rPr>
            </w:pPr>
            <w:r>
              <w:rPr>
                <w:rFonts w:hint="eastAsia" w:ascii="方正仿宋_GBK" w:hAnsi="方正仿宋_GBK" w:eastAsia="方正仿宋_GBK" w:cs="方正仿宋_GBK"/>
              </w:rPr>
              <w:t>b.供应商注册时间至文件递交截止日不足一年的，提供在市场监督管理部门备案的公司章程(复印件)或提供其内部财务报表（至少包括资产负债表、利润表、现金流量表）；c.提供具有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具有履行合同所必需的设备和专业技术能力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提供承诺函或具有履行合同所必需的设备和专业技术能力的证明材料。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4</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有依法缴纳税收和社会保障资金的良好记录</w:t>
            </w:r>
          </w:p>
        </w:tc>
        <w:tc>
          <w:tcPr>
            <w:tcW w:w="5388" w:type="dxa"/>
            <w:shd w:val="clear" w:color="auto" w:fill="FFFFFF"/>
            <w:vAlign w:val="center"/>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（1）供应商提供递交响应文件截止日期之前12个月内任意连续三个月的缴纳税收的证明或提供承诺函。</w:t>
            </w:r>
          </w:p>
          <w:p>
            <w:pPr>
              <w:spacing w:line="360" w:lineRule="auto"/>
              <w:rPr>
                <w:rFonts w:eastAsia="方正仿宋_GBK"/>
              </w:rPr>
            </w:pPr>
            <w:r>
              <w:rPr>
                <w:rFonts w:hint="eastAsia" w:ascii="方正仿宋_GBK" w:hAnsi="方正仿宋_GBK" w:eastAsia="方正仿宋_GBK" w:cs="方正仿宋_GBK"/>
                <w:szCs w:val="21"/>
              </w:rPr>
              <w:t>（2）供应商提供递交响应文件截止日期之前12个月内任意连续三个月的缴纳社保的证明或提供承诺函。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参加本次政府采购活动前三年内，在经营活动中没有重大违法记录</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6</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法律、行政法规规定的其他条件</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在法律法规有特殊规定的情况下提供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7</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采购项目的特殊要求</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无。</w:t>
            </w:r>
          </w:p>
        </w:tc>
      </w:tr>
    </w:tbl>
    <w:p>
      <w:pPr>
        <w:pStyle w:val="4"/>
        <w:rPr>
          <w:sz w:val="28"/>
          <w:szCs w:val="28"/>
        </w:rPr>
      </w:pPr>
      <w:r>
        <w:rPr>
          <w:rFonts w:hint="eastAsia"/>
          <w:sz w:val="28"/>
          <w:szCs w:val="28"/>
        </w:rPr>
        <w:t>（二）技术、服务响应部分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（一）响应函；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（三）供应商基本情况表；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（四）技术、服务要求响应表；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（五）商务应答表；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（六）知识产权声明函；</w:t>
      </w:r>
    </w:p>
    <w:p>
      <w:pPr>
        <w:spacing w:line="360" w:lineRule="auto"/>
        <w:ind w:firstLine="560" w:firstLineChars="200"/>
        <w:rPr>
          <w:rFonts w:ascii="方正仿宋_GBK" w:hAnsi="方正仿宋_GBK" w:eastAsia="方正仿宋_GBK" w:cs="方正仿宋_GBK"/>
          <w:spacing w:val="-3"/>
          <w:sz w:val="28"/>
          <w:szCs w:val="28"/>
        </w:rPr>
      </w:pPr>
      <w:r>
        <w:rPr>
          <w:rFonts w:hint="eastAsia" w:ascii="方正仿宋_GBK" w:hAnsi="方正仿宋_GBK" w:eastAsia="方正仿宋_GBK" w:cs="方正仿宋_GBK"/>
          <w:sz w:val="28"/>
          <w:szCs w:val="28"/>
        </w:rPr>
        <w:t>（七）其他本项目涉及的材料及供应商认为应提交的相关材料。</w:t>
      </w:r>
    </w:p>
    <w:p>
      <w:pPr>
        <w:pStyle w:val="4"/>
        <w:rPr>
          <w:sz w:val="28"/>
          <w:szCs w:val="28"/>
        </w:rPr>
      </w:pPr>
      <w:r>
        <w:rPr>
          <w:rFonts w:hint="eastAsia"/>
          <w:sz w:val="28"/>
          <w:szCs w:val="28"/>
        </w:rPr>
        <w:t>（三）报价表</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不制作于响应文件中</w:t>
      </w:r>
      <w:r>
        <w:rPr>
          <w:rFonts w:hint="eastAsia" w:ascii="方正仿宋_GBK" w:hAnsi="方正仿宋_GBK" w:eastAsia="方正仿宋_GBK" w:cs="方正仿宋_GBK"/>
          <w:sz w:val="28"/>
          <w:szCs w:val="28"/>
        </w:rPr>
        <w:t>。资格性、符合性通过的供应商，一次性报出不可更改的价格（自行准备密封袋，须盖供应商鲜章密封递交）。</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：1、供应商应准备</w:t>
      </w:r>
      <w:r>
        <w:rPr>
          <w:rFonts w:hint="eastAsia" w:ascii="方正仿宋_GBK" w:hAnsi="方正仿宋_GBK" w:eastAsia="方正仿宋_GBK" w:cs="方正仿宋_GBK"/>
          <w:b/>
          <w:bCs/>
          <w:sz w:val="28"/>
          <w:szCs w:val="28"/>
        </w:rPr>
        <w:t>响应文件正本1份、副本2份、报价表1份</w:t>
      </w:r>
      <w:r>
        <w:rPr>
          <w:rFonts w:hint="eastAsia" w:ascii="方正仿宋_GBK" w:hAnsi="方正仿宋_GBK" w:eastAsia="方正仿宋_GBK" w:cs="方正仿宋_GBK"/>
          <w:sz w:val="28"/>
          <w:szCs w:val="28"/>
        </w:rPr>
        <w:t>。须注明项目编号、项目名称和供应商名称以及“正本”或“副本”字样。若正本和副本有不一致的内容，以正本书面响应文件为准。</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2、响应文件、报价表应分别单独包装、密封和标注（正副本应密封在一个密封袋内）。</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3"/>
        <w:spacing w:line="600" w:lineRule="exact"/>
        <w:rPr>
          <w:rFonts w:ascii="方正仿宋_GBK" w:hAnsi="方正仿宋_GBK"/>
          <w:kern w:val="2"/>
          <w:sz w:val="28"/>
          <w:szCs w:val="28"/>
        </w:rPr>
      </w:pPr>
      <w:bookmarkStart w:id="13" w:name="_Toc1238"/>
      <w:bookmarkStart w:id="14" w:name="_Toc30731"/>
      <w:bookmarkStart w:id="15" w:name="_Toc4386"/>
      <w:r>
        <w:rPr>
          <w:rFonts w:hint="eastAsia" w:ascii="方正仿宋_GBK" w:hAnsi="方正仿宋_GBK"/>
          <w:sz w:val="28"/>
          <w:szCs w:val="28"/>
        </w:rPr>
        <w:t>五、响应文件格式</w:t>
      </w:r>
      <w:bookmarkEnd w:id="13"/>
      <w:bookmarkEnd w:id="14"/>
      <w:bookmarkEnd w:id="15"/>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章所制响应文件格式，除格式中明确将该格式作为实质性要求的，一律不具有强制性。本章所制响应文件格式中需要填写的相关内容事项，可能会与本采购项目无关，在不改变响应文件原义、不影响本项目采购需求的情况下，供应商可以不予填写，但应当注明。</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二、本章所制响应文件格式有关表格中的备注栏，由供应商根据自身响应情况作解释性说明，不作为必填项。</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注：1、“供应商代表”系指供应商是自然人时的自然人本人，供应商是法人或其他组织时的法定代表人或其授权代表。</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3、响应文件正本和副本需要逐页编目编码并逐页加盖公章。（正本所盖公章应为鲜章）</w:t>
      </w:r>
    </w:p>
    <w:p>
      <w:pPr>
        <w:spacing w:line="500" w:lineRule="exact"/>
        <w:ind w:firstLine="560" w:firstLineChars="200"/>
        <w:rPr>
          <w:rFonts w:ascii="方正仿宋_GBK" w:hAnsi="方正仿宋_GBK" w:eastAsia="方正仿宋_GBK" w:cs="方正仿宋_GBK"/>
          <w:b/>
          <w:bCs/>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2"/>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16" w:name="_Toc15220"/>
      <w:r>
        <w:rPr>
          <w:rFonts w:hint="eastAsia"/>
        </w:rPr>
        <w:t>法定代表人/负责人身份证明书</w:t>
      </w:r>
      <w:bookmarkEnd w:id="16"/>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0"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r>
        <w:rPr>
          <w:rFonts w:hint="eastAsia" w:ascii="方正仿宋_GBK" w:hAnsi="方正仿宋_GBK" w:eastAsia="方正仿宋_GBK" w:cs="方正仿宋_GBK"/>
          <w:sz w:val="28"/>
          <w:szCs w:val="28"/>
        </w:rPr>
        <w:t xml:space="preserve">        </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有效的身份证复印件（身份证两面均应复印）。供应商的</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为外籍人士的，则需提供护照复印件。</w:t>
      </w:r>
    </w:p>
    <w:p>
      <w:pPr>
        <w:pStyle w:val="2"/>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17" w:name="_Toc111"/>
      <w:r>
        <w:rPr>
          <w:rFonts w:hint="eastAsia"/>
        </w:rPr>
        <w:t>授权委托书</w:t>
      </w:r>
      <w:bookmarkEnd w:id="17"/>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kern w:val="0"/>
          <w:sz w:val="28"/>
          <w:szCs w:val="28"/>
        </w:rPr>
        <w:t>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（被授权人姓名、职务）为我方“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）询价采购活动的合法代表，以我方名义全权处理该项目有关询价、签订合同以及执行合同等一切事宜。本公司均予以认可并对此承担责任。授权代表无转委托权。</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特此授权！本授权书自出具之日起生效。</w:t>
      </w: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18" w:name="OLE_LINK9"/>
      <w:r>
        <w:rPr>
          <w:rFonts w:hint="eastAsia" w:ascii="方正仿宋_GBK" w:hAnsi="方正仿宋_GBK" w:eastAsia="方正仿宋_GBK" w:cs="方正仿宋_GBK"/>
          <w:b/>
          <w:bCs/>
          <w:sz w:val="28"/>
          <w:szCs w:val="28"/>
        </w:rPr>
        <w:t>（1）</w:t>
      </w:r>
      <w:bookmarkEnd w:id="18"/>
      <w:r>
        <w:rPr>
          <w:rFonts w:hint="eastAsia" w:ascii="方正仿宋_GBK" w:hAnsi="方正仿宋_GBK" w:eastAsia="方正仿宋_GBK" w:cs="方正仿宋_GBK"/>
          <w:b/>
          <w:bCs/>
          <w:sz w:val="28"/>
          <w:szCs w:val="28"/>
        </w:rPr>
        <w:t>法定代表人/负责人标而委托代理人投标适用。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sectPr>
          <w:pgSz w:w="11906" w:h="16838"/>
          <w:pgMar w:top="1440" w:right="1800" w:bottom="1440" w:left="1800" w:header="851" w:footer="992" w:gutter="0"/>
          <w:cols w:space="720" w:num="1"/>
          <w:docGrid w:type="lines" w:linePitch="312" w:charSpace="0"/>
        </w:sectPr>
      </w:pPr>
    </w:p>
    <w:p>
      <w:pPr>
        <w:pStyle w:val="4"/>
        <w:jc w:val="center"/>
      </w:pPr>
      <w:r>
        <w:rPr>
          <w:rFonts w:hint="eastAsia"/>
        </w:rPr>
        <w:t>响应函</w:t>
      </w:r>
    </w:p>
    <w:p>
      <w:pPr>
        <w:spacing w:line="360" w:lineRule="auto"/>
        <w:rPr>
          <w:rFonts w:ascii="方正仿宋_GBK" w:hAnsi="方正仿宋_GBK" w:eastAsia="方正仿宋_GBK" w:cs="方正仿宋_GBK"/>
          <w:b/>
          <w:bCs/>
          <w:sz w:val="28"/>
        </w:rPr>
      </w:pPr>
      <w:r>
        <w:rPr>
          <w:rFonts w:hint="eastAsia" w:ascii="方正仿宋_GBK" w:hAnsi="方正仿宋_GBK" w:eastAsia="方正仿宋_GBK" w:cs="方正仿宋_GBK"/>
          <w:b/>
          <w:bCs/>
          <w:sz w:val="28"/>
        </w:rPr>
        <w:t>四川振嘉工程招标代理有限公司：</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1.我方全面研究了“ </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”项目询价通知书（项目编号：</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rPr>
        <w:t>），决定参加贵单位组织的本项目询价采购。</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2.我方自愿按照询价通知书规定的各项要求向采购人提供所需货物，总报价以单独递交的报价表为</w:t>
      </w:r>
      <w:r>
        <w:rPr>
          <w:rFonts w:hint="eastAsia" w:ascii="方正仿宋_GBK" w:hAnsi="方正仿宋_GBK" w:eastAsia="方正仿宋_GBK" w:cs="方正仿宋_GBK"/>
          <w:sz w:val="28"/>
          <w:lang w:eastAsia="zh-CN"/>
        </w:rPr>
        <w:t>准</w:t>
      </w:r>
      <w:bookmarkStart w:id="64" w:name="_GoBack"/>
      <w:bookmarkEnd w:id="64"/>
      <w:r>
        <w:rPr>
          <w:rFonts w:hint="eastAsia" w:ascii="方正仿宋_GBK" w:hAnsi="方正仿宋_GBK" w:eastAsia="方正仿宋_GBK" w:cs="方正仿宋_GBK"/>
          <w:sz w:val="28"/>
        </w:rPr>
        <w:t>。</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3.一旦我方成交，我方将严格履行政府采购合同规定的责任和义务。</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4.我们已详细审核全部采购文件，包括文件修改书(如有)，参考资料及有关附件，我们完全理解并放弃提出含糊不清或误解的问题的权利。</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5.我方同意本询价通知书依据有关文件对我方可能存在的失信行为进行惩戒。</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6.我方为本项目提交的响应文件正本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份，副本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份；用于询价的报价表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7.我方愿意提供贵单位可能另外要求的，与询价报价有关的文件资料，并保证我方已提供和将要提供的文件资料是真实、准确的。</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8.如果我方成交，我方保证按照询价通知书的规定向贵方交纳成交服务费。</w:t>
      </w:r>
    </w:p>
    <w:p>
      <w:pPr>
        <w:spacing w:line="480" w:lineRule="exact"/>
        <w:ind w:left="420" w:leftChars="200"/>
        <w:rPr>
          <w:rFonts w:ascii="方正仿宋_GBK" w:hAnsi="方正仿宋_GBK" w:eastAsia="方正仿宋_GBK" w:cs="方正仿宋_GBK"/>
          <w:sz w:val="28"/>
        </w:rPr>
      </w:pPr>
      <w:r>
        <w:rPr>
          <w:rFonts w:hint="eastAsia" w:ascii="方正仿宋_GBK" w:hAnsi="方正仿宋_GBK" w:eastAsia="方正仿宋_GBK" w:cs="方正仿宋_GBK"/>
          <w:sz w:val="28"/>
        </w:rPr>
        <w:t>9.本次询价，我方报价有效期为提交响应文件截止之日起</w:t>
      </w:r>
      <w:r>
        <w:rPr>
          <w:rFonts w:hint="eastAsia" w:ascii="方正仿宋_GBK" w:hAnsi="方正仿宋_GBK" w:eastAsia="方正仿宋_GBK" w:cs="方正仿宋_GBK"/>
          <w:sz w:val="28"/>
          <w:u w:val="single"/>
        </w:rPr>
        <w:t xml:space="preserve"> 90 </w:t>
      </w:r>
      <w:r>
        <w:rPr>
          <w:rFonts w:hint="eastAsia" w:ascii="方正仿宋_GBK" w:hAnsi="方正仿宋_GBK" w:eastAsia="方正仿宋_GBK" w:cs="方正仿宋_GBK"/>
          <w:sz w:val="28"/>
        </w:rPr>
        <w:t>天。与本询价有关的正式通讯地址为：</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rPr>
        <w:t>加盖供应商公章</w:t>
      </w:r>
      <w:r>
        <w:rPr>
          <w:rFonts w:hint="eastAsia" w:ascii="方正仿宋_GBK" w:hAnsi="方正仿宋_GBK" w:eastAsia="方正仿宋_GBK" w:cs="方正仿宋_GBK"/>
          <w:sz w:val="28"/>
          <w:szCs w:val="28"/>
        </w:rPr>
        <w:t>）</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p>
    <w:p>
      <w:r>
        <w:rPr>
          <w:rFonts w:hint="eastAsia"/>
        </w:rPr>
        <w:br w:type="page"/>
      </w:r>
    </w:p>
    <w:p>
      <w:pPr>
        <w:pStyle w:val="4"/>
        <w:jc w:val="center"/>
      </w:pPr>
      <w:r>
        <w:rPr>
          <w:rFonts w:hint="eastAsia"/>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五、如果有有关法律法规规定的记入诚信档案的失信行为，将在响应文件中全面如实反映。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spacing w:line="520" w:lineRule="exact"/>
        <w:ind w:firstLine="562" w:firstLineChars="200"/>
      </w:pPr>
      <w:r>
        <w:rPr>
          <w:rFonts w:hint="eastAsia" w:ascii="方正仿宋_GBK" w:hAnsi="方正仿宋_GBK" w:eastAsia="方正仿宋_GBK" w:cs="方正仿宋_GBK"/>
          <w:b/>
          <w:bCs/>
          <w:sz w:val="28"/>
          <w:szCs w:val="28"/>
        </w:rPr>
        <w:br w:type="page"/>
      </w:r>
      <w:bookmarkStart w:id="19" w:name="_Toc31358"/>
    </w:p>
    <w:p>
      <w:pPr>
        <w:pStyle w:val="4"/>
        <w:jc w:val="center"/>
      </w:pPr>
      <w:bookmarkStart w:id="20" w:name="_Toc12867"/>
      <w:r>
        <w:t>供应商基本情况表</w:t>
      </w:r>
      <w:bookmarkEnd w:id="20"/>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09"/>
        <w:gridCol w:w="284"/>
        <w:gridCol w:w="1582"/>
        <w:gridCol w:w="544"/>
        <w:gridCol w:w="664"/>
        <w:gridCol w:w="328"/>
        <w:gridCol w:w="567"/>
        <w:gridCol w:w="785"/>
        <w:gridCol w:w="20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供应商名称</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注册地址</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邮政编码</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联系方式</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联系人</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传真</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网址</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组织结构</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法定代表人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技术负责人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成立时间</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39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企业资质等级</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其中</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项目经理</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营业执照号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高级职称人员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注册资金</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中级职称人员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开户银行</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初级职称人员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账号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技工</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经营范围</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备注</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bl>
    <w:p>
      <w:pPr>
        <w:spacing w:line="360" w:lineRule="auto"/>
        <w:rPr>
          <w:rFonts w:cs="方正仿宋_GBK"/>
          <w:szCs w:val="28"/>
        </w:rPr>
      </w:pPr>
    </w:p>
    <w:p>
      <w:pPr>
        <w:spacing w:line="360" w:lineRule="auto"/>
        <w:rPr>
          <w:rFonts w:cs="方正仿宋_GBK"/>
          <w:szCs w:val="28"/>
        </w:rPr>
      </w:pPr>
    </w:p>
    <w:p>
      <w:pPr>
        <w:spacing w:line="360" w:lineRule="auto"/>
        <w:rPr>
          <w:rFonts w:cs="方正仿宋_GBK"/>
        </w:rPr>
      </w:pPr>
      <w:r>
        <w:rPr>
          <w:rFonts w:hint="eastAsia" w:ascii="方正仿宋_GBK" w:hAnsi="方正仿宋_GBK" w:eastAsia="方正仿宋_GBK" w:cs="方正仿宋_GBK"/>
          <w:sz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rPr>
        <w:t>（加盖单位公章）</w:t>
      </w:r>
    </w:p>
    <w:p>
      <w:pPr>
        <w:spacing w:line="360" w:lineRule="auto"/>
        <w:rPr>
          <w:rFonts w:cs="方正仿宋_GBK"/>
        </w:rPr>
      </w:pPr>
      <w:r>
        <w:rPr>
          <w:rFonts w:hint="eastAsia" w:ascii="方正仿宋_GBK" w:hAnsi="方正仿宋_GBK" w:eastAsia="方正仿宋_GBK" w:cs="方正仿宋_GBK"/>
          <w:sz w:val="28"/>
        </w:rPr>
        <w:t>供应商代表（签字）：</w:t>
      </w:r>
    </w:p>
    <w:p>
      <w:pPr>
        <w:spacing w:line="360" w:lineRule="auto"/>
        <w:rPr>
          <w:rFonts w:cs="方正仿宋_GBK"/>
          <w:szCs w:val="28"/>
        </w:rPr>
      </w:pPr>
      <w:r>
        <w:rPr>
          <w:rFonts w:hint="eastAsia" w:ascii="方正仿宋_GBK" w:hAnsi="方正仿宋_GBK" w:eastAsia="方正仿宋_GBK" w:cs="方正仿宋_GBK"/>
          <w:sz w:val="28"/>
        </w:rPr>
        <w:t>日期：</w:t>
      </w:r>
    </w:p>
    <w:p>
      <w:pPr>
        <w:pStyle w:val="4"/>
        <w:jc w:val="center"/>
      </w:pPr>
      <w:r>
        <w:rPr>
          <w:rFonts w:hint="eastAsia"/>
        </w:rPr>
        <w:t>技术、服务要求响应表</w:t>
      </w:r>
      <w:bookmarkEnd w:id="19"/>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167"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978"/>
        <w:gridCol w:w="1750"/>
        <w:gridCol w:w="801"/>
        <w:gridCol w:w="1145"/>
        <w:gridCol w:w="1873"/>
        <w:gridCol w:w="8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spacing w:line="360" w:lineRule="auto"/>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序号</w:t>
            </w:r>
          </w:p>
        </w:tc>
        <w:tc>
          <w:tcPr>
            <w:tcW w:w="978" w:type="dxa"/>
            <w:tcBorders>
              <w:tl2br w:val="nil"/>
              <w:tr2bl w:val="nil"/>
            </w:tcBorders>
            <w:vAlign w:val="center"/>
          </w:tcPr>
          <w:p>
            <w:pPr>
              <w:spacing w:line="360" w:lineRule="auto"/>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产品名称</w:t>
            </w:r>
          </w:p>
        </w:tc>
        <w:tc>
          <w:tcPr>
            <w:tcW w:w="1750" w:type="dxa"/>
            <w:tcBorders>
              <w:tl2br w:val="nil"/>
              <w:tr2bl w:val="nil"/>
            </w:tcBorders>
            <w:vAlign w:val="center"/>
          </w:tcPr>
          <w:p>
            <w:pPr>
              <w:spacing w:line="360" w:lineRule="auto"/>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响应产品的品牌和型号</w:t>
            </w:r>
          </w:p>
        </w:tc>
        <w:tc>
          <w:tcPr>
            <w:tcW w:w="801" w:type="dxa"/>
            <w:tcBorders>
              <w:tl2br w:val="nil"/>
              <w:tr2bl w:val="nil"/>
            </w:tcBorders>
            <w:vAlign w:val="center"/>
          </w:tcPr>
          <w:p>
            <w:pPr>
              <w:spacing w:line="360" w:lineRule="auto"/>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数量/单位</w:t>
            </w:r>
          </w:p>
        </w:tc>
        <w:tc>
          <w:tcPr>
            <w:tcW w:w="1145" w:type="dxa"/>
            <w:tcBorders>
              <w:tl2br w:val="nil"/>
              <w:tr2bl w:val="nil"/>
            </w:tcBorders>
            <w:vAlign w:val="center"/>
          </w:tcPr>
          <w:p>
            <w:pPr>
              <w:spacing w:line="360" w:lineRule="auto"/>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询价文件要求</w:t>
            </w:r>
          </w:p>
        </w:tc>
        <w:tc>
          <w:tcPr>
            <w:tcW w:w="1873" w:type="dxa"/>
            <w:tcBorders>
              <w:tl2br w:val="nil"/>
              <w:tr2bl w:val="nil"/>
            </w:tcBorders>
            <w:vAlign w:val="center"/>
          </w:tcPr>
          <w:p>
            <w:pPr>
              <w:spacing w:line="360" w:lineRule="auto"/>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技术、服务要求响应情况</w:t>
            </w:r>
          </w:p>
        </w:tc>
        <w:tc>
          <w:tcPr>
            <w:tcW w:w="881" w:type="dxa"/>
            <w:tcBorders>
              <w:tl2br w:val="nil"/>
              <w:tr2bl w:val="nil"/>
            </w:tcBorders>
            <w:vAlign w:val="center"/>
          </w:tcPr>
          <w:p>
            <w:pPr>
              <w:spacing w:line="360" w:lineRule="auto"/>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spacing w:line="360" w:lineRule="auto"/>
              <w:rPr>
                <w:rFonts w:ascii="方正仿宋_GBK" w:hAnsi="方正仿宋_GBK" w:eastAsia="方正仿宋_GBK" w:cs="方正仿宋_GBK"/>
                <w:sz w:val="28"/>
              </w:rPr>
            </w:pPr>
          </w:p>
        </w:tc>
        <w:tc>
          <w:tcPr>
            <w:tcW w:w="978" w:type="dxa"/>
            <w:tcBorders>
              <w:tl2br w:val="nil"/>
              <w:tr2bl w:val="nil"/>
            </w:tcBorders>
            <w:vAlign w:val="center"/>
          </w:tcPr>
          <w:p>
            <w:pPr>
              <w:spacing w:line="360" w:lineRule="auto"/>
              <w:rPr>
                <w:rFonts w:ascii="方正仿宋_GBK" w:hAnsi="方正仿宋_GBK" w:eastAsia="方正仿宋_GBK" w:cs="方正仿宋_GBK"/>
                <w:sz w:val="28"/>
              </w:rPr>
            </w:pPr>
          </w:p>
        </w:tc>
        <w:tc>
          <w:tcPr>
            <w:tcW w:w="1750" w:type="dxa"/>
            <w:tcBorders>
              <w:tl2br w:val="nil"/>
              <w:tr2bl w:val="nil"/>
            </w:tcBorders>
            <w:vAlign w:val="center"/>
          </w:tcPr>
          <w:p>
            <w:pPr>
              <w:spacing w:line="360" w:lineRule="auto"/>
              <w:rPr>
                <w:rFonts w:ascii="方正仿宋_GBK" w:hAnsi="方正仿宋_GBK" w:eastAsia="方正仿宋_GBK" w:cs="方正仿宋_GBK"/>
                <w:sz w:val="28"/>
              </w:rPr>
            </w:pPr>
          </w:p>
        </w:tc>
        <w:tc>
          <w:tcPr>
            <w:tcW w:w="801" w:type="dxa"/>
            <w:tcBorders>
              <w:tl2br w:val="nil"/>
              <w:tr2bl w:val="nil"/>
            </w:tcBorders>
            <w:vAlign w:val="center"/>
          </w:tcPr>
          <w:p>
            <w:pPr>
              <w:spacing w:line="360" w:lineRule="auto"/>
              <w:rPr>
                <w:rFonts w:ascii="方正仿宋_GBK" w:hAnsi="方正仿宋_GBK" w:eastAsia="方正仿宋_GBK" w:cs="方正仿宋_GBK"/>
                <w:sz w:val="28"/>
              </w:rPr>
            </w:pPr>
          </w:p>
        </w:tc>
        <w:tc>
          <w:tcPr>
            <w:tcW w:w="1145" w:type="dxa"/>
            <w:tcBorders>
              <w:tl2br w:val="nil"/>
              <w:tr2bl w:val="nil"/>
            </w:tcBorders>
            <w:vAlign w:val="center"/>
          </w:tcPr>
          <w:p>
            <w:pPr>
              <w:spacing w:line="360" w:lineRule="auto"/>
              <w:rPr>
                <w:rFonts w:ascii="方正仿宋_GBK" w:hAnsi="方正仿宋_GBK" w:eastAsia="方正仿宋_GBK" w:cs="方正仿宋_GBK"/>
                <w:sz w:val="28"/>
              </w:rPr>
            </w:pPr>
          </w:p>
        </w:tc>
        <w:tc>
          <w:tcPr>
            <w:tcW w:w="1873" w:type="dxa"/>
            <w:tcBorders>
              <w:tl2br w:val="nil"/>
              <w:tr2bl w:val="nil"/>
            </w:tcBorders>
            <w:vAlign w:val="center"/>
          </w:tcPr>
          <w:p>
            <w:pPr>
              <w:spacing w:line="360" w:lineRule="auto"/>
              <w:rPr>
                <w:rFonts w:ascii="方正仿宋_GBK" w:hAnsi="方正仿宋_GBK" w:eastAsia="方正仿宋_GBK" w:cs="方正仿宋_GBK"/>
                <w:sz w:val="28"/>
              </w:rPr>
            </w:pPr>
          </w:p>
        </w:tc>
        <w:tc>
          <w:tcPr>
            <w:tcW w:w="881" w:type="dxa"/>
            <w:tcBorders>
              <w:tl2br w:val="nil"/>
              <w:tr2bl w:val="nil"/>
            </w:tcBorders>
            <w:vAlign w:val="center"/>
          </w:tcPr>
          <w:p>
            <w:pPr>
              <w:spacing w:line="360" w:lineRule="auto"/>
              <w:rPr>
                <w:rFonts w:ascii="方正仿宋_GBK" w:hAnsi="方正仿宋_GBK" w:eastAsia="方正仿宋_GBK" w:cs="方正仿宋_GBK"/>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spacing w:line="360" w:lineRule="auto"/>
              <w:rPr>
                <w:rFonts w:ascii="方正仿宋_GBK" w:hAnsi="方正仿宋_GBK" w:eastAsia="方正仿宋_GBK" w:cs="方正仿宋_GBK"/>
                <w:sz w:val="28"/>
              </w:rPr>
            </w:pPr>
          </w:p>
        </w:tc>
        <w:tc>
          <w:tcPr>
            <w:tcW w:w="978" w:type="dxa"/>
            <w:tcBorders>
              <w:tl2br w:val="nil"/>
              <w:tr2bl w:val="nil"/>
            </w:tcBorders>
            <w:vAlign w:val="center"/>
          </w:tcPr>
          <w:p>
            <w:pPr>
              <w:spacing w:line="360" w:lineRule="auto"/>
              <w:rPr>
                <w:rFonts w:ascii="方正仿宋_GBK" w:hAnsi="方正仿宋_GBK" w:eastAsia="方正仿宋_GBK" w:cs="方正仿宋_GBK"/>
                <w:sz w:val="28"/>
              </w:rPr>
            </w:pPr>
          </w:p>
        </w:tc>
        <w:tc>
          <w:tcPr>
            <w:tcW w:w="1750" w:type="dxa"/>
            <w:tcBorders>
              <w:tl2br w:val="nil"/>
              <w:tr2bl w:val="nil"/>
            </w:tcBorders>
            <w:vAlign w:val="center"/>
          </w:tcPr>
          <w:p>
            <w:pPr>
              <w:spacing w:line="360" w:lineRule="auto"/>
              <w:rPr>
                <w:rFonts w:ascii="方正仿宋_GBK" w:hAnsi="方正仿宋_GBK" w:eastAsia="方正仿宋_GBK" w:cs="方正仿宋_GBK"/>
                <w:sz w:val="28"/>
              </w:rPr>
            </w:pPr>
          </w:p>
        </w:tc>
        <w:tc>
          <w:tcPr>
            <w:tcW w:w="801" w:type="dxa"/>
            <w:tcBorders>
              <w:tl2br w:val="nil"/>
              <w:tr2bl w:val="nil"/>
            </w:tcBorders>
            <w:vAlign w:val="center"/>
          </w:tcPr>
          <w:p>
            <w:pPr>
              <w:spacing w:line="360" w:lineRule="auto"/>
              <w:rPr>
                <w:rFonts w:ascii="方正仿宋_GBK" w:hAnsi="方正仿宋_GBK" w:eastAsia="方正仿宋_GBK" w:cs="方正仿宋_GBK"/>
                <w:sz w:val="28"/>
              </w:rPr>
            </w:pPr>
          </w:p>
        </w:tc>
        <w:tc>
          <w:tcPr>
            <w:tcW w:w="1145" w:type="dxa"/>
            <w:tcBorders>
              <w:tl2br w:val="nil"/>
              <w:tr2bl w:val="nil"/>
            </w:tcBorders>
            <w:vAlign w:val="center"/>
          </w:tcPr>
          <w:p>
            <w:pPr>
              <w:spacing w:line="360" w:lineRule="auto"/>
              <w:rPr>
                <w:rFonts w:ascii="方正仿宋_GBK" w:hAnsi="方正仿宋_GBK" w:eastAsia="方正仿宋_GBK" w:cs="方正仿宋_GBK"/>
                <w:sz w:val="28"/>
              </w:rPr>
            </w:pPr>
          </w:p>
        </w:tc>
        <w:tc>
          <w:tcPr>
            <w:tcW w:w="1873" w:type="dxa"/>
            <w:tcBorders>
              <w:tl2br w:val="nil"/>
              <w:tr2bl w:val="nil"/>
            </w:tcBorders>
            <w:vAlign w:val="center"/>
          </w:tcPr>
          <w:p>
            <w:pPr>
              <w:spacing w:line="360" w:lineRule="auto"/>
              <w:rPr>
                <w:rFonts w:ascii="方正仿宋_GBK" w:hAnsi="方正仿宋_GBK" w:eastAsia="方正仿宋_GBK" w:cs="方正仿宋_GBK"/>
                <w:sz w:val="28"/>
              </w:rPr>
            </w:pPr>
          </w:p>
        </w:tc>
        <w:tc>
          <w:tcPr>
            <w:tcW w:w="881" w:type="dxa"/>
            <w:tcBorders>
              <w:tl2br w:val="nil"/>
              <w:tr2bl w:val="nil"/>
            </w:tcBorders>
            <w:vAlign w:val="center"/>
          </w:tcPr>
          <w:p>
            <w:pPr>
              <w:spacing w:line="360" w:lineRule="auto"/>
              <w:rPr>
                <w:rFonts w:ascii="方正仿宋_GBK" w:hAnsi="方正仿宋_GBK" w:eastAsia="方正仿宋_GBK" w:cs="方正仿宋_GBK"/>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spacing w:line="360" w:lineRule="auto"/>
              <w:rPr>
                <w:rFonts w:ascii="方正仿宋_GBK" w:hAnsi="方正仿宋_GBK" w:eastAsia="方正仿宋_GBK" w:cs="方正仿宋_GBK"/>
                <w:sz w:val="28"/>
              </w:rPr>
            </w:pPr>
          </w:p>
        </w:tc>
        <w:tc>
          <w:tcPr>
            <w:tcW w:w="978" w:type="dxa"/>
            <w:tcBorders>
              <w:tl2br w:val="nil"/>
              <w:tr2bl w:val="nil"/>
            </w:tcBorders>
            <w:vAlign w:val="center"/>
          </w:tcPr>
          <w:p>
            <w:pPr>
              <w:spacing w:line="360" w:lineRule="auto"/>
              <w:rPr>
                <w:rFonts w:ascii="方正仿宋_GBK" w:hAnsi="方正仿宋_GBK" w:eastAsia="方正仿宋_GBK" w:cs="方正仿宋_GBK"/>
                <w:sz w:val="28"/>
              </w:rPr>
            </w:pPr>
          </w:p>
        </w:tc>
        <w:tc>
          <w:tcPr>
            <w:tcW w:w="1750" w:type="dxa"/>
            <w:tcBorders>
              <w:tl2br w:val="nil"/>
              <w:tr2bl w:val="nil"/>
            </w:tcBorders>
            <w:vAlign w:val="center"/>
          </w:tcPr>
          <w:p>
            <w:pPr>
              <w:spacing w:line="360" w:lineRule="auto"/>
              <w:rPr>
                <w:rFonts w:ascii="方正仿宋_GBK" w:hAnsi="方正仿宋_GBK" w:eastAsia="方正仿宋_GBK" w:cs="方正仿宋_GBK"/>
                <w:sz w:val="28"/>
              </w:rPr>
            </w:pPr>
          </w:p>
        </w:tc>
        <w:tc>
          <w:tcPr>
            <w:tcW w:w="801" w:type="dxa"/>
            <w:tcBorders>
              <w:tl2br w:val="nil"/>
              <w:tr2bl w:val="nil"/>
            </w:tcBorders>
            <w:vAlign w:val="center"/>
          </w:tcPr>
          <w:p>
            <w:pPr>
              <w:spacing w:line="360" w:lineRule="auto"/>
              <w:rPr>
                <w:rFonts w:ascii="方正仿宋_GBK" w:hAnsi="方正仿宋_GBK" w:eastAsia="方正仿宋_GBK" w:cs="方正仿宋_GBK"/>
                <w:sz w:val="28"/>
              </w:rPr>
            </w:pPr>
          </w:p>
        </w:tc>
        <w:tc>
          <w:tcPr>
            <w:tcW w:w="1145" w:type="dxa"/>
            <w:tcBorders>
              <w:tl2br w:val="nil"/>
              <w:tr2bl w:val="nil"/>
            </w:tcBorders>
            <w:vAlign w:val="center"/>
          </w:tcPr>
          <w:p>
            <w:pPr>
              <w:spacing w:line="360" w:lineRule="auto"/>
              <w:rPr>
                <w:rFonts w:ascii="方正仿宋_GBK" w:hAnsi="方正仿宋_GBK" w:eastAsia="方正仿宋_GBK" w:cs="方正仿宋_GBK"/>
                <w:sz w:val="28"/>
              </w:rPr>
            </w:pPr>
          </w:p>
        </w:tc>
        <w:tc>
          <w:tcPr>
            <w:tcW w:w="1873" w:type="dxa"/>
            <w:tcBorders>
              <w:tl2br w:val="nil"/>
              <w:tr2bl w:val="nil"/>
            </w:tcBorders>
            <w:vAlign w:val="center"/>
          </w:tcPr>
          <w:p>
            <w:pPr>
              <w:spacing w:line="360" w:lineRule="auto"/>
              <w:rPr>
                <w:rFonts w:ascii="方正仿宋_GBK" w:hAnsi="方正仿宋_GBK" w:eastAsia="方正仿宋_GBK" w:cs="方正仿宋_GBK"/>
                <w:sz w:val="28"/>
              </w:rPr>
            </w:pPr>
          </w:p>
        </w:tc>
        <w:tc>
          <w:tcPr>
            <w:tcW w:w="881" w:type="dxa"/>
            <w:tcBorders>
              <w:tl2br w:val="nil"/>
              <w:tr2bl w:val="nil"/>
            </w:tcBorders>
            <w:vAlign w:val="center"/>
          </w:tcPr>
          <w:p>
            <w:pPr>
              <w:spacing w:line="360" w:lineRule="auto"/>
              <w:rPr>
                <w:rFonts w:ascii="方正仿宋_GBK" w:hAnsi="方正仿宋_GBK" w:eastAsia="方正仿宋_GBK" w:cs="方正仿宋_GBK"/>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spacing w:line="360" w:lineRule="auto"/>
              <w:rPr>
                <w:rFonts w:ascii="方正仿宋_GBK" w:hAnsi="方正仿宋_GBK" w:eastAsia="方正仿宋_GBK" w:cs="方正仿宋_GBK"/>
                <w:sz w:val="28"/>
              </w:rPr>
            </w:pPr>
          </w:p>
        </w:tc>
        <w:tc>
          <w:tcPr>
            <w:tcW w:w="978" w:type="dxa"/>
            <w:tcBorders>
              <w:tl2br w:val="nil"/>
              <w:tr2bl w:val="nil"/>
            </w:tcBorders>
            <w:vAlign w:val="center"/>
          </w:tcPr>
          <w:p>
            <w:pPr>
              <w:spacing w:line="360" w:lineRule="auto"/>
              <w:rPr>
                <w:rFonts w:ascii="方正仿宋_GBK" w:hAnsi="方正仿宋_GBK" w:eastAsia="方正仿宋_GBK" w:cs="方正仿宋_GBK"/>
                <w:sz w:val="28"/>
              </w:rPr>
            </w:pPr>
          </w:p>
        </w:tc>
        <w:tc>
          <w:tcPr>
            <w:tcW w:w="1750" w:type="dxa"/>
            <w:tcBorders>
              <w:tl2br w:val="nil"/>
              <w:tr2bl w:val="nil"/>
            </w:tcBorders>
            <w:vAlign w:val="center"/>
          </w:tcPr>
          <w:p>
            <w:pPr>
              <w:spacing w:line="360" w:lineRule="auto"/>
              <w:rPr>
                <w:rFonts w:ascii="方正仿宋_GBK" w:hAnsi="方正仿宋_GBK" w:eastAsia="方正仿宋_GBK" w:cs="方正仿宋_GBK"/>
                <w:sz w:val="28"/>
              </w:rPr>
            </w:pPr>
          </w:p>
        </w:tc>
        <w:tc>
          <w:tcPr>
            <w:tcW w:w="801" w:type="dxa"/>
            <w:tcBorders>
              <w:tl2br w:val="nil"/>
              <w:tr2bl w:val="nil"/>
            </w:tcBorders>
            <w:vAlign w:val="center"/>
          </w:tcPr>
          <w:p>
            <w:pPr>
              <w:spacing w:line="360" w:lineRule="auto"/>
              <w:rPr>
                <w:rFonts w:ascii="方正仿宋_GBK" w:hAnsi="方正仿宋_GBK" w:eastAsia="方正仿宋_GBK" w:cs="方正仿宋_GBK"/>
                <w:sz w:val="28"/>
              </w:rPr>
            </w:pPr>
          </w:p>
        </w:tc>
        <w:tc>
          <w:tcPr>
            <w:tcW w:w="1145" w:type="dxa"/>
            <w:tcBorders>
              <w:tl2br w:val="nil"/>
              <w:tr2bl w:val="nil"/>
            </w:tcBorders>
            <w:vAlign w:val="center"/>
          </w:tcPr>
          <w:p>
            <w:pPr>
              <w:spacing w:line="360" w:lineRule="auto"/>
              <w:rPr>
                <w:rFonts w:ascii="方正仿宋_GBK" w:hAnsi="方正仿宋_GBK" w:eastAsia="方正仿宋_GBK" w:cs="方正仿宋_GBK"/>
                <w:sz w:val="28"/>
              </w:rPr>
            </w:pPr>
          </w:p>
        </w:tc>
        <w:tc>
          <w:tcPr>
            <w:tcW w:w="1873" w:type="dxa"/>
            <w:tcBorders>
              <w:tl2br w:val="nil"/>
              <w:tr2bl w:val="nil"/>
            </w:tcBorders>
            <w:vAlign w:val="center"/>
          </w:tcPr>
          <w:p>
            <w:pPr>
              <w:spacing w:line="360" w:lineRule="auto"/>
              <w:rPr>
                <w:rFonts w:ascii="方正仿宋_GBK" w:hAnsi="方正仿宋_GBK" w:eastAsia="方正仿宋_GBK" w:cs="方正仿宋_GBK"/>
                <w:sz w:val="28"/>
              </w:rPr>
            </w:pPr>
          </w:p>
        </w:tc>
        <w:tc>
          <w:tcPr>
            <w:tcW w:w="881" w:type="dxa"/>
            <w:tcBorders>
              <w:tl2br w:val="nil"/>
              <w:tr2bl w:val="nil"/>
            </w:tcBorders>
            <w:vAlign w:val="center"/>
          </w:tcPr>
          <w:p>
            <w:pPr>
              <w:spacing w:line="360" w:lineRule="auto"/>
              <w:rPr>
                <w:rFonts w:ascii="方正仿宋_GBK" w:hAnsi="方正仿宋_GBK" w:eastAsia="方正仿宋_GBK" w:cs="方正仿宋_GBK"/>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spacing w:line="360" w:lineRule="auto"/>
              <w:rPr>
                <w:rFonts w:ascii="方正仿宋_GBK" w:hAnsi="方正仿宋_GBK" w:eastAsia="方正仿宋_GBK" w:cs="方正仿宋_GBK"/>
                <w:sz w:val="28"/>
              </w:rPr>
            </w:pPr>
          </w:p>
        </w:tc>
        <w:tc>
          <w:tcPr>
            <w:tcW w:w="978" w:type="dxa"/>
            <w:tcBorders>
              <w:tl2br w:val="nil"/>
              <w:tr2bl w:val="nil"/>
            </w:tcBorders>
            <w:vAlign w:val="center"/>
          </w:tcPr>
          <w:p>
            <w:pPr>
              <w:spacing w:line="360" w:lineRule="auto"/>
              <w:rPr>
                <w:rFonts w:ascii="方正仿宋_GBK" w:hAnsi="方正仿宋_GBK" w:eastAsia="方正仿宋_GBK" w:cs="方正仿宋_GBK"/>
                <w:sz w:val="28"/>
              </w:rPr>
            </w:pPr>
          </w:p>
        </w:tc>
        <w:tc>
          <w:tcPr>
            <w:tcW w:w="1750" w:type="dxa"/>
            <w:tcBorders>
              <w:tl2br w:val="nil"/>
              <w:tr2bl w:val="nil"/>
            </w:tcBorders>
            <w:vAlign w:val="center"/>
          </w:tcPr>
          <w:p>
            <w:pPr>
              <w:spacing w:line="360" w:lineRule="auto"/>
              <w:rPr>
                <w:rFonts w:ascii="方正仿宋_GBK" w:hAnsi="方正仿宋_GBK" w:eastAsia="方正仿宋_GBK" w:cs="方正仿宋_GBK"/>
                <w:sz w:val="28"/>
              </w:rPr>
            </w:pPr>
          </w:p>
        </w:tc>
        <w:tc>
          <w:tcPr>
            <w:tcW w:w="801" w:type="dxa"/>
            <w:tcBorders>
              <w:tl2br w:val="nil"/>
              <w:tr2bl w:val="nil"/>
            </w:tcBorders>
            <w:vAlign w:val="center"/>
          </w:tcPr>
          <w:p>
            <w:pPr>
              <w:spacing w:line="360" w:lineRule="auto"/>
              <w:rPr>
                <w:rFonts w:ascii="方正仿宋_GBK" w:hAnsi="方正仿宋_GBK" w:eastAsia="方正仿宋_GBK" w:cs="方正仿宋_GBK"/>
                <w:sz w:val="28"/>
              </w:rPr>
            </w:pPr>
          </w:p>
        </w:tc>
        <w:tc>
          <w:tcPr>
            <w:tcW w:w="1145" w:type="dxa"/>
            <w:tcBorders>
              <w:tl2br w:val="nil"/>
              <w:tr2bl w:val="nil"/>
            </w:tcBorders>
            <w:vAlign w:val="center"/>
          </w:tcPr>
          <w:p>
            <w:pPr>
              <w:spacing w:line="360" w:lineRule="auto"/>
              <w:rPr>
                <w:rFonts w:ascii="方正仿宋_GBK" w:hAnsi="方正仿宋_GBK" w:eastAsia="方正仿宋_GBK" w:cs="方正仿宋_GBK"/>
                <w:sz w:val="28"/>
              </w:rPr>
            </w:pPr>
          </w:p>
        </w:tc>
        <w:tc>
          <w:tcPr>
            <w:tcW w:w="1873" w:type="dxa"/>
            <w:tcBorders>
              <w:tl2br w:val="nil"/>
              <w:tr2bl w:val="nil"/>
            </w:tcBorders>
            <w:vAlign w:val="center"/>
          </w:tcPr>
          <w:p>
            <w:pPr>
              <w:spacing w:line="360" w:lineRule="auto"/>
              <w:rPr>
                <w:rFonts w:ascii="方正仿宋_GBK" w:hAnsi="方正仿宋_GBK" w:eastAsia="方正仿宋_GBK" w:cs="方正仿宋_GBK"/>
                <w:sz w:val="28"/>
              </w:rPr>
            </w:pPr>
          </w:p>
        </w:tc>
        <w:tc>
          <w:tcPr>
            <w:tcW w:w="881" w:type="dxa"/>
            <w:tcBorders>
              <w:tl2br w:val="nil"/>
              <w:tr2bl w:val="nil"/>
            </w:tcBorders>
            <w:vAlign w:val="center"/>
          </w:tcPr>
          <w:p>
            <w:pPr>
              <w:spacing w:line="360" w:lineRule="auto"/>
              <w:rPr>
                <w:rFonts w:ascii="方正仿宋_GBK" w:hAnsi="方正仿宋_GBK" w:eastAsia="方正仿宋_GBK" w:cs="方正仿宋_GBK"/>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spacing w:line="360" w:lineRule="auto"/>
              <w:rPr>
                <w:rFonts w:ascii="方正仿宋_GBK" w:hAnsi="方正仿宋_GBK" w:eastAsia="方正仿宋_GBK" w:cs="方正仿宋_GBK"/>
                <w:sz w:val="28"/>
              </w:rPr>
            </w:pPr>
          </w:p>
        </w:tc>
        <w:tc>
          <w:tcPr>
            <w:tcW w:w="978" w:type="dxa"/>
            <w:tcBorders>
              <w:tl2br w:val="nil"/>
              <w:tr2bl w:val="nil"/>
            </w:tcBorders>
            <w:vAlign w:val="center"/>
          </w:tcPr>
          <w:p>
            <w:pPr>
              <w:spacing w:line="360" w:lineRule="auto"/>
              <w:rPr>
                <w:rFonts w:ascii="方正仿宋_GBK" w:hAnsi="方正仿宋_GBK" w:eastAsia="方正仿宋_GBK" w:cs="方正仿宋_GBK"/>
                <w:sz w:val="28"/>
              </w:rPr>
            </w:pPr>
          </w:p>
        </w:tc>
        <w:tc>
          <w:tcPr>
            <w:tcW w:w="1750" w:type="dxa"/>
            <w:tcBorders>
              <w:tl2br w:val="nil"/>
              <w:tr2bl w:val="nil"/>
            </w:tcBorders>
            <w:vAlign w:val="center"/>
          </w:tcPr>
          <w:p>
            <w:pPr>
              <w:spacing w:line="360" w:lineRule="auto"/>
              <w:rPr>
                <w:rFonts w:ascii="方正仿宋_GBK" w:hAnsi="方正仿宋_GBK" w:eastAsia="方正仿宋_GBK" w:cs="方正仿宋_GBK"/>
                <w:sz w:val="28"/>
              </w:rPr>
            </w:pPr>
          </w:p>
        </w:tc>
        <w:tc>
          <w:tcPr>
            <w:tcW w:w="801" w:type="dxa"/>
            <w:tcBorders>
              <w:tl2br w:val="nil"/>
              <w:tr2bl w:val="nil"/>
            </w:tcBorders>
            <w:vAlign w:val="center"/>
          </w:tcPr>
          <w:p>
            <w:pPr>
              <w:spacing w:line="360" w:lineRule="auto"/>
              <w:rPr>
                <w:rFonts w:ascii="方正仿宋_GBK" w:hAnsi="方正仿宋_GBK" w:eastAsia="方正仿宋_GBK" w:cs="方正仿宋_GBK"/>
                <w:sz w:val="28"/>
              </w:rPr>
            </w:pPr>
          </w:p>
        </w:tc>
        <w:tc>
          <w:tcPr>
            <w:tcW w:w="1145" w:type="dxa"/>
            <w:tcBorders>
              <w:tl2br w:val="nil"/>
              <w:tr2bl w:val="nil"/>
            </w:tcBorders>
            <w:vAlign w:val="center"/>
          </w:tcPr>
          <w:p>
            <w:pPr>
              <w:spacing w:line="360" w:lineRule="auto"/>
              <w:rPr>
                <w:rFonts w:ascii="方正仿宋_GBK" w:hAnsi="方正仿宋_GBK" w:eastAsia="方正仿宋_GBK" w:cs="方正仿宋_GBK"/>
                <w:sz w:val="28"/>
              </w:rPr>
            </w:pPr>
          </w:p>
        </w:tc>
        <w:tc>
          <w:tcPr>
            <w:tcW w:w="1873" w:type="dxa"/>
            <w:tcBorders>
              <w:tl2br w:val="nil"/>
              <w:tr2bl w:val="nil"/>
            </w:tcBorders>
            <w:vAlign w:val="center"/>
          </w:tcPr>
          <w:p>
            <w:pPr>
              <w:spacing w:line="360" w:lineRule="auto"/>
              <w:rPr>
                <w:rFonts w:ascii="方正仿宋_GBK" w:hAnsi="方正仿宋_GBK" w:eastAsia="方正仿宋_GBK" w:cs="方正仿宋_GBK"/>
                <w:sz w:val="28"/>
              </w:rPr>
            </w:pPr>
          </w:p>
        </w:tc>
        <w:tc>
          <w:tcPr>
            <w:tcW w:w="881" w:type="dxa"/>
            <w:tcBorders>
              <w:tl2br w:val="nil"/>
              <w:tr2bl w:val="nil"/>
            </w:tcBorders>
            <w:vAlign w:val="center"/>
          </w:tcPr>
          <w:p>
            <w:pPr>
              <w:spacing w:line="360" w:lineRule="auto"/>
              <w:rPr>
                <w:rFonts w:ascii="方正仿宋_GBK" w:hAnsi="方正仿宋_GBK" w:eastAsia="方正仿宋_GBK" w:cs="方正仿宋_GBK"/>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9" w:type="dxa"/>
            <w:tcBorders>
              <w:tl2br w:val="nil"/>
              <w:tr2bl w:val="nil"/>
            </w:tcBorders>
            <w:vAlign w:val="center"/>
          </w:tcPr>
          <w:p>
            <w:pPr>
              <w:spacing w:line="360" w:lineRule="auto"/>
              <w:rPr>
                <w:rFonts w:ascii="方正仿宋_GBK" w:hAnsi="方正仿宋_GBK" w:eastAsia="方正仿宋_GBK" w:cs="方正仿宋_GBK"/>
                <w:sz w:val="28"/>
              </w:rPr>
            </w:pPr>
          </w:p>
        </w:tc>
        <w:tc>
          <w:tcPr>
            <w:tcW w:w="978" w:type="dxa"/>
            <w:tcBorders>
              <w:tl2br w:val="nil"/>
              <w:tr2bl w:val="nil"/>
            </w:tcBorders>
            <w:vAlign w:val="center"/>
          </w:tcPr>
          <w:p>
            <w:pPr>
              <w:spacing w:line="360" w:lineRule="auto"/>
              <w:rPr>
                <w:rFonts w:ascii="方正仿宋_GBK" w:hAnsi="方正仿宋_GBK" w:eastAsia="方正仿宋_GBK" w:cs="方正仿宋_GBK"/>
                <w:sz w:val="28"/>
              </w:rPr>
            </w:pPr>
          </w:p>
        </w:tc>
        <w:tc>
          <w:tcPr>
            <w:tcW w:w="1750" w:type="dxa"/>
            <w:tcBorders>
              <w:tl2br w:val="nil"/>
              <w:tr2bl w:val="nil"/>
            </w:tcBorders>
            <w:vAlign w:val="center"/>
          </w:tcPr>
          <w:p>
            <w:pPr>
              <w:spacing w:line="360" w:lineRule="auto"/>
              <w:rPr>
                <w:rFonts w:ascii="方正仿宋_GBK" w:hAnsi="方正仿宋_GBK" w:eastAsia="方正仿宋_GBK" w:cs="方正仿宋_GBK"/>
                <w:sz w:val="28"/>
              </w:rPr>
            </w:pPr>
          </w:p>
        </w:tc>
        <w:tc>
          <w:tcPr>
            <w:tcW w:w="801" w:type="dxa"/>
            <w:tcBorders>
              <w:tl2br w:val="nil"/>
              <w:tr2bl w:val="nil"/>
            </w:tcBorders>
            <w:vAlign w:val="center"/>
          </w:tcPr>
          <w:p>
            <w:pPr>
              <w:spacing w:line="360" w:lineRule="auto"/>
              <w:rPr>
                <w:rFonts w:ascii="方正仿宋_GBK" w:hAnsi="方正仿宋_GBK" w:eastAsia="方正仿宋_GBK" w:cs="方正仿宋_GBK"/>
                <w:sz w:val="28"/>
              </w:rPr>
            </w:pPr>
          </w:p>
        </w:tc>
        <w:tc>
          <w:tcPr>
            <w:tcW w:w="1145" w:type="dxa"/>
            <w:tcBorders>
              <w:tl2br w:val="nil"/>
              <w:tr2bl w:val="nil"/>
            </w:tcBorders>
            <w:vAlign w:val="center"/>
          </w:tcPr>
          <w:p>
            <w:pPr>
              <w:spacing w:line="360" w:lineRule="auto"/>
              <w:rPr>
                <w:rFonts w:ascii="方正仿宋_GBK" w:hAnsi="方正仿宋_GBK" w:eastAsia="方正仿宋_GBK" w:cs="方正仿宋_GBK"/>
                <w:sz w:val="28"/>
              </w:rPr>
            </w:pPr>
          </w:p>
        </w:tc>
        <w:tc>
          <w:tcPr>
            <w:tcW w:w="1873" w:type="dxa"/>
            <w:tcBorders>
              <w:tl2br w:val="nil"/>
              <w:tr2bl w:val="nil"/>
            </w:tcBorders>
            <w:vAlign w:val="center"/>
          </w:tcPr>
          <w:p>
            <w:pPr>
              <w:spacing w:line="360" w:lineRule="auto"/>
              <w:rPr>
                <w:rFonts w:ascii="方正仿宋_GBK" w:hAnsi="方正仿宋_GBK" w:eastAsia="方正仿宋_GBK" w:cs="方正仿宋_GBK"/>
                <w:sz w:val="28"/>
              </w:rPr>
            </w:pPr>
          </w:p>
        </w:tc>
        <w:tc>
          <w:tcPr>
            <w:tcW w:w="881" w:type="dxa"/>
            <w:tcBorders>
              <w:tl2br w:val="nil"/>
              <w:tr2bl w:val="nil"/>
            </w:tcBorders>
            <w:vAlign w:val="center"/>
          </w:tcPr>
          <w:p>
            <w:pPr>
              <w:spacing w:line="360" w:lineRule="auto"/>
              <w:rPr>
                <w:rFonts w:ascii="方正仿宋_GBK" w:hAnsi="方正仿宋_GBK" w:eastAsia="方正仿宋_GBK" w:cs="方正仿宋_GBK"/>
                <w:sz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表内容涉及产品的，供应商应当明示具体产品的品牌、型号，在“技术、服务要求响应情况”一列填入技术参数；本表内容涉及服务的，供应商应在“技术、服务要求响应情况”一列填入供应商拟提供服务的内容和标准，如：提供**服务，使**达到**水平等等；“偏离情况”一列，填写“正偏离”、“负偏离”、“无偏离”。</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21" w:name="_Toc22567"/>
      <w:r>
        <w:rPr>
          <w:rFonts w:hint="eastAsia"/>
        </w:rPr>
        <w:t>商务应答表</w:t>
      </w:r>
      <w:bookmarkEnd w:id="21"/>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注：1.供应商必须把采购项目的全部商务要求列入此表。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3.偏离情况填写“正偏离”、“负偏离”、“无偏离”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22" w:name="_Toc10905"/>
      <w:r>
        <w:t>中小企业声明函（货物类适用）</w:t>
      </w:r>
      <w:bookmarkEnd w:id="22"/>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采购活动，提供的货物全部由符合政策要求的中小企业制造。相关企业（含联合体中的中小企业、签订分包意向协议的中小企业）的具体情况如下：</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 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本企业对上述声明内容的真实性负责。如有虚假，将依 法承担相应责任。</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企业名称（盖章）：</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日 期：</w:t>
      </w:r>
    </w:p>
    <w:p>
      <w:pPr>
        <w:spacing w:line="540" w:lineRule="exact"/>
        <w:rPr>
          <w:rFonts w:cs="方正仿宋_GBK"/>
          <w:b/>
          <w:szCs w:val="28"/>
        </w:rPr>
      </w:pPr>
    </w:p>
    <w:p>
      <w:pPr>
        <w:spacing w:line="540" w:lineRule="exact"/>
        <w:rPr>
          <w:rFonts w:cs="方正仿宋_GBK"/>
          <w:b/>
          <w:bCs/>
          <w:szCs w:val="28"/>
        </w:rPr>
      </w:pPr>
      <w:r>
        <w:rPr>
          <w:rFonts w:hint="eastAsia" w:ascii="方正仿宋_GBK" w:hAnsi="方正仿宋_GBK" w:eastAsia="方正仿宋_GBK" w:cs="方正仿宋_GBK"/>
          <w:b/>
          <w:sz w:val="28"/>
          <w:szCs w:val="28"/>
        </w:rPr>
        <w:t>注：</w:t>
      </w:r>
      <w:r>
        <w:rPr>
          <w:rFonts w:hint="eastAsia" w:ascii="方正仿宋_GBK" w:hAnsi="方正仿宋_GBK" w:eastAsia="方正仿宋_GBK" w:cs="方正仿宋_GBK"/>
          <w:b/>
          <w:bCs/>
          <w:sz w:val="28"/>
          <w:szCs w:val="28"/>
        </w:rPr>
        <w:t>从业人员、营业收入、资产总额填报上一年度数据，无上一年度数据的新成立企业可不填报。</w:t>
      </w:r>
    </w:p>
    <w:p>
      <w:pPr>
        <w:spacing w:line="360" w:lineRule="auto"/>
        <w:jc w:val="center"/>
        <w:rPr>
          <w:rFonts w:cs="方正仿宋_GBK"/>
          <w:b/>
          <w:bCs/>
          <w:szCs w:val="32"/>
        </w:rPr>
      </w:pPr>
      <w:r>
        <w:rPr>
          <w:rFonts w:hint="eastAsia" w:ascii="方正仿宋_GBK" w:hAnsi="方正仿宋_GBK" w:eastAsia="方正仿宋_GBK" w:cs="方正仿宋_GBK"/>
          <w:b/>
          <w:bCs/>
          <w:sz w:val="28"/>
          <w:szCs w:val="32"/>
        </w:rPr>
        <w:br w:type="page"/>
      </w:r>
      <w:r>
        <w:rPr>
          <w:rFonts w:hint="eastAsia" w:ascii="方正仿宋_GBK" w:hAnsi="方正仿宋_GBK" w:eastAsia="方正仿宋_GBK" w:cs="方正仿宋_GBK"/>
          <w:b/>
          <w:bCs/>
          <w:sz w:val="28"/>
          <w:szCs w:val="32"/>
        </w:rPr>
        <w:t>中小企业声明函（工程、服务类适用）</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 xml:space="preserve">  （单位名称）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 xml:space="preserve">    （项目名称）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20" w:lineRule="exact"/>
        <w:jc w:val="left"/>
        <w:rPr>
          <w:rFonts w:cs="方正仿宋_GBK"/>
          <w:szCs w:val="28"/>
        </w:rPr>
      </w:pPr>
      <w:r>
        <w:rPr>
          <w:rFonts w:hint="eastAsia" w:ascii="方正仿宋_GBK" w:hAnsi="方正仿宋_GBK" w:eastAsia="方正仿宋_GBK" w:cs="方正仿宋_GBK"/>
          <w:sz w:val="28"/>
          <w:szCs w:val="28"/>
        </w:rPr>
        <w:t>企业名称（盖章）：</w:t>
      </w:r>
    </w:p>
    <w:p>
      <w:pPr>
        <w:spacing w:line="520" w:lineRule="exact"/>
        <w:ind w:firstLine="280" w:firstLineChars="100"/>
        <w:jc w:val="left"/>
        <w:rPr>
          <w:rFonts w:cs="方正仿宋_GBK"/>
          <w:szCs w:val="28"/>
        </w:rPr>
      </w:pPr>
      <w:r>
        <w:rPr>
          <w:rFonts w:hint="eastAsia" w:ascii="方正仿宋_GBK" w:hAnsi="方正仿宋_GBK" w:eastAsia="方正仿宋_GBK" w:cs="方正仿宋_GBK"/>
          <w:sz w:val="28"/>
          <w:szCs w:val="28"/>
        </w:rPr>
        <w:t>日 期：</w:t>
      </w:r>
    </w:p>
    <w:p>
      <w:pPr>
        <w:spacing w:line="520" w:lineRule="exact"/>
        <w:jc w:val="left"/>
        <w:rPr>
          <w:rFonts w:cs="方正仿宋_GBK"/>
          <w:b/>
          <w:bCs/>
          <w:szCs w:val="28"/>
        </w:rPr>
      </w:pPr>
    </w:p>
    <w:p>
      <w:pPr>
        <w:spacing w:line="520" w:lineRule="exact"/>
        <w:jc w:val="left"/>
        <w:rPr>
          <w:rFonts w:cs="方正仿宋_GBK"/>
          <w:b/>
          <w:bCs/>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p>
    <w:p>
      <w:pPr>
        <w:pStyle w:val="4"/>
        <w:jc w:val="center"/>
      </w:pPr>
      <w:bookmarkStart w:id="23" w:name="_Toc19913"/>
      <w:r>
        <w:rPr>
          <w:rFonts w:hint="eastAsia"/>
        </w:rPr>
        <w:t>知识产权声明函</w:t>
      </w:r>
      <w:bookmarkEnd w:id="23"/>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pPr>
        <w:pStyle w:val="4"/>
        <w:jc w:val="center"/>
      </w:pPr>
      <w:bookmarkStart w:id="24" w:name="_Toc7958"/>
      <w:r>
        <w:rPr>
          <w:rFonts w:hint="eastAsia"/>
        </w:rPr>
        <w:t>其他相关材料</w:t>
      </w:r>
      <w:bookmarkEnd w:id="24"/>
    </w:p>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pPr>
        <w:pStyle w:val="2"/>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2"/>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2"/>
        <w:rPr>
          <w:rFonts w:ascii="方正仿宋_GBK" w:hAnsi="方正仿宋_GBK" w:eastAsia="方正仿宋_GBK" w:cs="方正仿宋_GBK"/>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报价表</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r>
        <w:rPr>
          <w:rFonts w:hint="eastAsia"/>
        </w:rPr>
        <w:br w:type="page"/>
      </w:r>
    </w:p>
    <w:p>
      <w:pPr>
        <w:pStyle w:val="4"/>
        <w:jc w:val="center"/>
      </w:pPr>
      <w:r>
        <w:rPr>
          <w:rFonts w:hint="eastAsia"/>
        </w:rPr>
        <w:t>报价表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125"/>
        <w:gridCol w:w="1149"/>
        <w:gridCol w:w="692"/>
        <w:gridCol w:w="670"/>
        <w:gridCol w:w="1289"/>
        <w:gridCol w:w="1237"/>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125"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名称</w:t>
            </w:r>
          </w:p>
        </w:tc>
        <w:tc>
          <w:tcPr>
            <w:tcW w:w="1149"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品牌型号</w:t>
            </w:r>
          </w:p>
        </w:tc>
        <w:tc>
          <w:tcPr>
            <w:tcW w:w="692"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67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1289"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单价（元）</w:t>
            </w:r>
          </w:p>
        </w:tc>
        <w:tc>
          <w:tcPr>
            <w:tcW w:w="1237"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总价（元）</w:t>
            </w:r>
          </w:p>
        </w:tc>
        <w:tc>
          <w:tcPr>
            <w:tcW w:w="881"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125" w:type="dxa"/>
          </w:tcPr>
          <w:p>
            <w:pPr>
              <w:spacing w:line="360" w:lineRule="auto"/>
              <w:rPr>
                <w:rFonts w:ascii="方正仿宋_GBK" w:hAnsi="方正仿宋_GBK" w:eastAsia="方正仿宋_GBK" w:cs="方正仿宋_GBK"/>
                <w:szCs w:val="21"/>
              </w:rPr>
            </w:pPr>
          </w:p>
        </w:tc>
        <w:tc>
          <w:tcPr>
            <w:tcW w:w="1149" w:type="dxa"/>
          </w:tcPr>
          <w:p>
            <w:pPr>
              <w:spacing w:line="360" w:lineRule="auto"/>
              <w:rPr>
                <w:rFonts w:ascii="方正仿宋_GBK" w:hAnsi="方正仿宋_GBK" w:eastAsia="方正仿宋_GBK" w:cs="方正仿宋_GBK"/>
                <w:szCs w:val="21"/>
              </w:rPr>
            </w:pPr>
          </w:p>
        </w:tc>
        <w:tc>
          <w:tcPr>
            <w:tcW w:w="692" w:type="dxa"/>
          </w:tcPr>
          <w:p>
            <w:pPr>
              <w:spacing w:line="360" w:lineRule="auto"/>
              <w:rPr>
                <w:rFonts w:ascii="方正仿宋_GBK" w:hAnsi="方正仿宋_GBK" w:eastAsia="方正仿宋_GBK" w:cs="方正仿宋_GBK"/>
                <w:szCs w:val="21"/>
              </w:rPr>
            </w:pPr>
          </w:p>
        </w:tc>
        <w:tc>
          <w:tcPr>
            <w:tcW w:w="670" w:type="dxa"/>
          </w:tcPr>
          <w:p>
            <w:pPr>
              <w:spacing w:line="360" w:lineRule="auto"/>
              <w:rPr>
                <w:rFonts w:ascii="方正仿宋_GBK" w:hAnsi="方正仿宋_GBK" w:eastAsia="方正仿宋_GBK" w:cs="方正仿宋_GBK"/>
                <w:szCs w:val="21"/>
              </w:rPr>
            </w:pPr>
          </w:p>
        </w:tc>
        <w:tc>
          <w:tcPr>
            <w:tcW w:w="1289" w:type="dxa"/>
          </w:tcPr>
          <w:p>
            <w:pPr>
              <w:spacing w:line="360" w:lineRule="auto"/>
              <w:rPr>
                <w:rFonts w:ascii="方正仿宋_GBK" w:hAnsi="方正仿宋_GBK" w:eastAsia="方正仿宋_GBK" w:cs="方正仿宋_GBK"/>
                <w:szCs w:val="21"/>
              </w:rPr>
            </w:pPr>
          </w:p>
        </w:tc>
        <w:tc>
          <w:tcPr>
            <w:tcW w:w="1237" w:type="dxa"/>
          </w:tcPr>
          <w:p>
            <w:pPr>
              <w:spacing w:line="360" w:lineRule="auto"/>
              <w:rPr>
                <w:rFonts w:ascii="方正仿宋_GBK" w:hAnsi="方正仿宋_GBK" w:eastAsia="方正仿宋_GBK" w:cs="方正仿宋_GBK"/>
                <w:szCs w:val="21"/>
              </w:rPr>
            </w:pPr>
          </w:p>
        </w:tc>
        <w:tc>
          <w:tcPr>
            <w:tcW w:w="881" w:type="dxa"/>
          </w:tcPr>
          <w:p>
            <w:pPr>
              <w:spacing w:line="360" w:lineRule="auto"/>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12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149"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92"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7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289"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237"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881"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8" w:type="dxa"/>
            <w:gridSpan w:val="8"/>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合计金额（元）：小写：</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 xml:space="preserve">            大写：</w:t>
            </w:r>
          </w:p>
        </w:tc>
      </w:tr>
    </w:tbl>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注：1.所有报价均用人民币表示,所报价格是最终验收合格的总价，其总价即为履行合同的固定价格。包括相关内容运输、安装、调试、检验、相关税金等费用以及询价通知书规定的其他费用均应包含在报价中；</w:t>
      </w:r>
    </w:p>
    <w:p>
      <w:pPr>
        <w:numPr>
          <w:ilvl w:val="0"/>
          <w:numId w:val="1"/>
        </w:num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应完整填写产品的品牌和型号或项目内容。</w:t>
      </w:r>
    </w:p>
    <w:p>
      <w:pPr>
        <w:pStyle w:val="2"/>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特别提醒：资格性、符合性通过的供应商，一次性报出不可更改的价格（自行准备密封袋）。</w:t>
      </w:r>
    </w:p>
    <w:p>
      <w:pPr>
        <w:rPr>
          <w:rFonts w:ascii="方正仿宋_GBK" w:hAnsi="方正仿宋_GBK" w:eastAsia="方正仿宋_GBK" w:cs="方正仿宋_GBK"/>
          <w:sz w:val="28"/>
          <w:szCs w:val="28"/>
        </w:rPr>
        <w:sectPr>
          <w:footerReference r:id="rId6" w:type="default"/>
          <w:pgSz w:w="11906" w:h="16838"/>
          <w:pgMar w:top="1440" w:right="1803" w:bottom="1440" w:left="1803" w:header="851" w:footer="992" w:gutter="0"/>
          <w:cols w:space="720" w:num="1"/>
          <w:docGrid w:type="lines" w:linePitch="312" w:charSpace="0"/>
        </w:sectPr>
      </w:pPr>
    </w:p>
    <w:p>
      <w:pPr>
        <w:pStyle w:val="3"/>
        <w:rPr>
          <w:rFonts w:ascii="方正仿宋_GBK" w:hAnsi="方正仿宋_GBK"/>
          <w:sz w:val="28"/>
          <w:szCs w:val="28"/>
        </w:rPr>
      </w:pPr>
      <w:bookmarkStart w:id="25" w:name="_Toc16139"/>
      <w:bookmarkStart w:id="26" w:name="_Toc27996"/>
      <w:bookmarkStart w:id="27" w:name="_Toc11347"/>
      <w:r>
        <w:rPr>
          <w:rFonts w:hint="eastAsia" w:ascii="方正仿宋_GBK" w:hAnsi="方正仿宋_GBK"/>
          <w:sz w:val="28"/>
          <w:szCs w:val="28"/>
        </w:rPr>
        <w:t>六、确定成交供应商的原则</w:t>
      </w:r>
      <w:bookmarkEnd w:id="25"/>
      <w:bookmarkEnd w:id="26"/>
      <w:bookmarkEnd w:id="27"/>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本项目采购方式为询价采购，须按最低评标价法进行评审。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具体询价程序参照《四川省政府采购评审工作规程（修订）》执行。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注：1、根据《关于进一步加大政府采购支持中小企业力度的通知》 财库〔2022〕19号文件和《巴中市财政局关于进一步加大政府采购支持中小企业力度的通知》巴财采〔2022〕14号的规定，对小型和微型企业产品的价格给予20%的价格扣除，用扣除后的价格参与评审。</w:t>
      </w:r>
    </w:p>
    <w:p>
      <w:pPr>
        <w:spacing w:line="360" w:lineRule="auto"/>
        <w:ind w:firstLine="560" w:firstLineChars="200"/>
        <w:jc w:val="left"/>
        <w:rPr>
          <w:rFonts w:ascii="方正仿宋_GBK" w:hAnsi="方正仿宋_GBK" w:eastAsia="方正仿宋_GBK" w:cs="方正仿宋_GBK"/>
          <w:sz w:val="28"/>
          <w:szCs w:val="28"/>
        </w:rPr>
      </w:pPr>
      <w:bookmarkStart w:id="28" w:name="bookmark37"/>
      <w:bookmarkEnd w:id="28"/>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29" w:name="bookmark38"/>
      <w:bookmarkEnd w:id="29"/>
      <w:r>
        <w:rPr>
          <w:rFonts w:hint="eastAsia" w:ascii="方正仿宋_GBK" w:hAnsi="方正仿宋_GBK" w:eastAsia="方正仿宋_GBK" w:cs="方正仿宋_GBK"/>
          <w:sz w:val="28"/>
          <w:szCs w:val="28"/>
        </w:rPr>
        <w:t>3、根据《中华人民共和国政府采购法》第九条的相关规定</w:t>
      </w:r>
      <w:r>
        <w:rPr>
          <w:rFonts w:hint="eastAsia" w:ascii="方正仿宋_GBK" w:hAnsi="方正仿宋_GBK" w:eastAsia="方正仿宋_GBK" w:cs="方正仿宋_GBK"/>
          <w:sz w:val="28"/>
          <w:szCs w:val="28"/>
          <w:lang w:val="zh-CN"/>
        </w:rPr>
        <w:t>，在报价相同时，成交候选供应商并列的情况下</w:t>
      </w:r>
      <w:r>
        <w:rPr>
          <w:rFonts w:hint="eastAsia" w:ascii="方正仿宋_GBK" w:hAnsi="方正仿宋_GBK" w:eastAsia="方正仿宋_GBK" w:cs="方正仿宋_GBK"/>
          <w:sz w:val="28"/>
          <w:szCs w:val="28"/>
        </w:rPr>
        <w:t>，优先确定注册地为不发达地区、少数民族地区的供应商为成交供应商。供应商须在响应文件提供相关证明材料，否则不享受本扶持政策。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30" w:name="bookmark40"/>
      <w:bookmarkEnd w:id="30"/>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3"/>
        <w:rPr>
          <w:rFonts w:ascii="方正仿宋_GBK" w:hAnsi="方正仿宋_GBK"/>
          <w:sz w:val="28"/>
          <w:szCs w:val="28"/>
        </w:rPr>
      </w:pPr>
      <w:bookmarkStart w:id="31" w:name="_Toc32506"/>
      <w:bookmarkStart w:id="32" w:name="_Toc5245"/>
      <w:bookmarkStart w:id="33" w:name="_Toc11158"/>
      <w:r>
        <w:rPr>
          <w:rFonts w:hint="eastAsia" w:ascii="方正仿宋_GBK" w:hAnsi="方正仿宋_GBK"/>
          <w:sz w:val="28"/>
          <w:szCs w:val="28"/>
        </w:rPr>
        <w:t>七、文件获取方式、时间、地点</w:t>
      </w:r>
      <w:bookmarkEnd w:id="31"/>
      <w:bookmarkEnd w:id="32"/>
      <w:bookmarkEnd w:id="33"/>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采购文件自2023年</w:t>
      </w:r>
      <w:r>
        <w:rPr>
          <w:rFonts w:hint="eastAsia" w:ascii="方正仿宋_GBK" w:hAnsi="方正仿宋_GBK" w:eastAsia="方正仿宋_GBK" w:cs="方正仿宋_GBK"/>
          <w:sz w:val="28"/>
          <w:szCs w:val="28"/>
          <w:u w:val="single"/>
        </w:rPr>
        <w:t>11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16</w:t>
      </w:r>
      <w:r>
        <w:rPr>
          <w:rFonts w:hint="eastAsia" w:ascii="方正仿宋_GBK" w:hAnsi="方正仿宋_GBK" w:eastAsia="方正仿宋_GBK" w:cs="方正仿宋_GBK"/>
          <w:sz w:val="28"/>
          <w:szCs w:val="28"/>
        </w:rPr>
        <w:t>日至2023年</w:t>
      </w:r>
      <w:r>
        <w:rPr>
          <w:rFonts w:hint="eastAsia" w:ascii="方正仿宋_GBK" w:hAnsi="方正仿宋_GBK" w:eastAsia="方正仿宋_GBK" w:cs="方正仿宋_GBK"/>
          <w:sz w:val="28"/>
          <w:szCs w:val="28"/>
          <w:u w:val="single"/>
        </w:rPr>
        <w:t>11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17</w:t>
      </w:r>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现场获取/邮箱获取。</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邮箱获取：在采购文件获取期限内将如下扫描件发送给四川振嘉工程招标代理有限公司邮箱（3480200800@qq.com）：供应商为法人或者其他组织的，需提供单位介绍信、经办人身份证明，交款凭证（备注交款单位、本项目名称）；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r>
        <w:rPr>
          <w:rFonts w:hint="eastAsia" w:ascii="方正仿宋_GBK" w:hAnsi="方正仿宋_GBK" w:eastAsia="方正仿宋_GBK" w:cs="方正仿宋_GBK"/>
          <w:b/>
          <w:bCs/>
          <w:sz w:val="28"/>
          <w:szCs w:val="28"/>
        </w:rPr>
        <w:t>递交文件截止日期前将原件交给采购代理机构留存</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采购文件售价：300元/份（采购文件售后不退，询价资格不能转让）。</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3721100</wp:posOffset>
            </wp:positionH>
            <wp:positionV relativeFrom="paragraph">
              <wp:posOffset>36195</wp:posOffset>
            </wp:positionV>
            <wp:extent cx="1649095" cy="1640205"/>
            <wp:effectExtent l="0" t="0" r="8255" b="17145"/>
            <wp:wrapSquare wrapText="bothSides"/>
            <wp:docPr id="1" name="图片 1" descr="5c2f9d629e7eb0ea9e1bd6714b62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2f9d629e7eb0ea9e1bd6714b629da"/>
                    <pic:cNvPicPr>
                      <a:picLocks noChangeAspect="1"/>
                    </pic:cNvPicPr>
                  </pic:nvPicPr>
                  <pic:blipFill>
                    <a:blip r:embed="rId11"/>
                    <a:srcRect b="27550"/>
                    <a:stretch>
                      <a:fillRect/>
                    </a:stretch>
                  </pic:blipFill>
                  <pic:spPr>
                    <a:xfrm>
                      <a:off x="0" y="0"/>
                      <a:ext cx="1649095" cy="1640205"/>
                    </a:xfrm>
                    <a:prstGeom prst="rect">
                      <a:avLst/>
                    </a:prstGeom>
                  </pic:spPr>
                </pic:pic>
              </a:graphicData>
            </a:graphic>
          </wp:anchor>
        </w:drawing>
      </w:r>
      <w:r>
        <w:rPr>
          <w:rFonts w:hint="eastAsia" w:ascii="方正仿宋_GBK" w:hAnsi="方正仿宋_GBK" w:eastAsia="方正仿宋_GBK" w:cs="方正仿宋_GBK"/>
          <w:color w:val="000000" w:themeColor="text1"/>
          <w:sz w:val="28"/>
          <w:szCs w:val="28"/>
          <w14:textFill>
            <w14:solidFill>
              <w14:schemeClr w14:val="tx1"/>
            </w14:solidFill>
          </w14:textFill>
        </w:rPr>
        <w:t>收款二维码见右图：</w:t>
      </w:r>
    </w:p>
    <w:p>
      <w:pPr>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（请注明项目名称及供应商名称）</w:t>
      </w:r>
    </w:p>
    <w:p>
      <w:bookmarkStart w:id="34" w:name="_Toc20158"/>
      <w:bookmarkStart w:id="35" w:name="_Toc22573"/>
      <w:bookmarkStart w:id="36" w:name="_Toc17808"/>
    </w:p>
    <w:p/>
    <w:p/>
    <w:p/>
    <w:p>
      <w:pPr>
        <w:pStyle w:val="3"/>
        <w:rPr>
          <w:rFonts w:ascii="方正仿宋_GBK" w:hAnsi="方正仿宋_GBK"/>
          <w:sz w:val="28"/>
          <w:szCs w:val="28"/>
        </w:rPr>
      </w:pPr>
      <w:r>
        <w:rPr>
          <w:rFonts w:hint="eastAsia" w:ascii="方正仿宋_GBK" w:hAnsi="方正仿宋_GBK"/>
          <w:sz w:val="28"/>
          <w:szCs w:val="28"/>
        </w:rPr>
        <w:t>八、递交响应文件截止时间</w:t>
      </w:r>
      <w:bookmarkEnd w:id="34"/>
      <w:bookmarkEnd w:id="35"/>
      <w:bookmarkEnd w:id="36"/>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11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22</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37" w:name="_Toc7760"/>
      <w:bookmarkStart w:id="38" w:name="_Toc25240"/>
      <w:bookmarkStart w:id="39" w:name="_Toc24476"/>
      <w:r>
        <w:rPr>
          <w:rFonts w:hint="eastAsia" w:ascii="方正仿宋_GBK" w:hAnsi="方正仿宋_GBK"/>
          <w:sz w:val="28"/>
          <w:szCs w:val="28"/>
        </w:rPr>
        <w:t>九、递交响应文件地点</w:t>
      </w:r>
      <w:bookmarkEnd w:id="37"/>
      <w:bookmarkEnd w:id="38"/>
      <w:bookmarkEnd w:id="39"/>
    </w:p>
    <w:p>
      <w:pPr>
        <w:widowControl/>
        <w:ind w:firstLine="560" w:firstLineChars="200"/>
        <w:rPr>
          <w:rFonts w:ascii="方正仿宋_GBK" w:hAnsi="方正仿宋_GBK" w:eastAsia="方正仿宋_GBK" w:cs="方正仿宋_GBK"/>
          <w:sz w:val="28"/>
          <w:szCs w:val="28"/>
        </w:rPr>
      </w:pPr>
      <w:bookmarkStart w:id="40"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40"/>
      <w:r>
        <w:rPr>
          <w:rFonts w:hint="eastAsia" w:ascii="方正仿宋_GBK" w:hAnsi="方正仿宋_GBK" w:eastAsia="方正仿宋_GBK" w:cs="方正仿宋_GBK"/>
          <w:sz w:val="28"/>
          <w:szCs w:val="28"/>
        </w:rPr>
        <w:t>。响应文件必须在递交响应文件截止时间前送达地点。逾期送达、密封和标注错误的响应文件，采购代理机构恕不接收。本次采购不可接收邮寄的响应文件。</w:t>
      </w:r>
    </w:p>
    <w:p>
      <w:pPr>
        <w:ind w:left="279" w:leftChars="133"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11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22</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9:30</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11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22</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41" w:name="_Toc5721"/>
      <w:bookmarkStart w:id="42" w:name="_Toc6315"/>
      <w:bookmarkStart w:id="43" w:name="_Toc2651"/>
      <w:bookmarkStart w:id="44" w:name="_Toc18438"/>
      <w:bookmarkStart w:id="45" w:name="_Toc5653"/>
      <w:r>
        <w:rPr>
          <w:rFonts w:hint="eastAsia" w:ascii="方正仿宋_GBK" w:hAnsi="方正仿宋_GBK"/>
          <w:sz w:val="28"/>
          <w:szCs w:val="28"/>
        </w:rPr>
        <w:t>十、代理服务</w:t>
      </w:r>
      <w:bookmarkEnd w:id="41"/>
      <w:bookmarkEnd w:id="42"/>
      <w:bookmarkEnd w:id="43"/>
      <w:bookmarkEnd w:id="44"/>
      <w:bookmarkEnd w:id="45"/>
    </w:p>
    <w:p>
      <w:pPr>
        <w:widowControl/>
        <w:adjustRightInd w:val="0"/>
        <w:snapToGrid w:val="0"/>
        <w:spacing w:line="305" w:lineRule="auto"/>
        <w:ind w:firstLine="560" w:firstLineChars="200"/>
        <w:jc w:val="left"/>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宋体" w:eastAsia="方正仿宋_GBK" w:cs="宋体"/>
          <w:kern w:val="0"/>
          <w:sz w:val="28"/>
          <w:szCs w:val="28"/>
        </w:rPr>
        <w:t>本项目代理服务费</w:t>
      </w:r>
      <w:r>
        <w:rPr>
          <w:rFonts w:hint="eastAsia" w:ascii="方正仿宋_GBK" w:hAnsi="宋体" w:eastAsia="方正仿宋_GBK" w:cs="宋体"/>
          <w:kern w:val="0"/>
          <w:sz w:val="28"/>
          <w:szCs w:val="28"/>
          <w:u w:val="single"/>
        </w:rPr>
        <w:t>6000</w:t>
      </w:r>
      <w:r>
        <w:rPr>
          <w:rFonts w:hint="eastAsia" w:ascii="方正仿宋_GBK" w:hAnsi="宋体" w:eastAsia="方正仿宋_GBK" w:cs="宋体"/>
          <w:kern w:val="0"/>
          <w:sz w:val="28"/>
          <w:szCs w:val="28"/>
        </w:rPr>
        <w:t>元（大写：陆仟元整），由</w:t>
      </w:r>
      <w:r>
        <w:rPr>
          <w:rFonts w:hint="eastAsia" w:ascii="方正仿宋_GBK" w:hAnsi="方正仿宋_GBK" w:eastAsia="方正仿宋_GBK" w:cs="方正仿宋_GBK"/>
          <w:bCs/>
          <w:sz w:val="28"/>
          <w:szCs w:val="28"/>
          <w:u w:val="single"/>
        </w:rPr>
        <w:t>成交供应商</w:t>
      </w:r>
      <w:r>
        <w:rPr>
          <w:rFonts w:hint="eastAsia" w:ascii="方正仿宋_GBK" w:hAnsi="宋体" w:eastAsia="方正仿宋_GBK" w:cs="宋体"/>
          <w:kern w:val="0"/>
          <w:sz w:val="28"/>
          <w:szCs w:val="28"/>
        </w:rPr>
        <w:t>向（代理机构）支付。</w:t>
      </w:r>
    </w:p>
    <w:p>
      <w:pPr>
        <w:pStyle w:val="3"/>
        <w:rPr>
          <w:rFonts w:ascii="方正仿宋_GBK" w:hAnsi="方正仿宋_GBK"/>
          <w:sz w:val="28"/>
          <w:szCs w:val="28"/>
        </w:rPr>
      </w:pPr>
      <w:bookmarkStart w:id="46" w:name="_Toc5861"/>
      <w:bookmarkStart w:id="47" w:name="_Toc10747"/>
      <w:bookmarkStart w:id="48" w:name="_Toc9760"/>
      <w:r>
        <w:rPr>
          <w:rFonts w:hint="eastAsia" w:ascii="方正仿宋_GBK" w:hAnsi="方正仿宋_GBK"/>
          <w:sz w:val="28"/>
          <w:szCs w:val="28"/>
        </w:rPr>
        <w:t>十一、联系方式</w:t>
      </w:r>
      <w:bookmarkEnd w:id="46"/>
      <w:bookmarkEnd w:id="47"/>
      <w:bookmarkEnd w:id="48"/>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采购人：巴中市公安局巴州区分局；</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w:t>
      </w:r>
      <w:r>
        <w:rPr>
          <w:rFonts w:hint="eastAsia" w:ascii="方正仿宋_GBK" w:hAnsi="方正仿宋_GBK" w:eastAsia="方正仿宋_GBK" w:cs="方正仿宋_GBK"/>
          <w:sz w:val="28"/>
          <w:szCs w:val="28"/>
        </w:rPr>
        <w:t>巴中市公安局巴州区分局</w:t>
      </w:r>
      <w:r>
        <w:rPr>
          <w:rFonts w:hint="eastAsia" w:ascii="方正仿宋_GBK" w:hAnsi="方正仿宋_GBK" w:eastAsia="方正仿宋_GBK" w:cs="方正仿宋_GBK"/>
          <w:bCs/>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人：何老师；联系电话：13981688885。</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采购代理机构：四川振嘉工程招标代理有限公司；</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    址：巴中市江北大道西段凯悦名城9栋12楼；</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人：李老师；联系电话：0827-8668888。</w:t>
      </w:r>
    </w:p>
    <w:p>
      <w:pPr>
        <w:pStyle w:val="3"/>
        <w:spacing w:line="360" w:lineRule="auto"/>
        <w:rPr>
          <w:rFonts w:ascii="方正仿宋_GBK" w:hAnsi="方正仿宋_GBK"/>
          <w:sz w:val="28"/>
          <w:szCs w:val="28"/>
        </w:rPr>
      </w:pPr>
      <w:bookmarkStart w:id="49" w:name="_Toc11731"/>
      <w:bookmarkStart w:id="50" w:name="_Toc669"/>
      <w:bookmarkStart w:id="51" w:name="_Toc20873"/>
      <w:bookmarkStart w:id="52" w:name="_Toc8137"/>
      <w:bookmarkStart w:id="53" w:name="_Toc26219"/>
      <w:bookmarkStart w:id="54" w:name="_Toc689"/>
      <w:r>
        <w:rPr>
          <w:rFonts w:hint="eastAsia" w:ascii="方正仿宋_GBK" w:hAnsi="方正仿宋_GBK"/>
          <w:sz w:val="28"/>
          <w:szCs w:val="28"/>
        </w:rPr>
        <w:t>十二、询问、质疑</w:t>
      </w:r>
      <w:bookmarkEnd w:id="49"/>
      <w:bookmarkEnd w:id="50"/>
      <w:bookmarkEnd w:id="51"/>
      <w:bookmarkEnd w:id="52"/>
      <w:bookmarkEnd w:id="53"/>
      <w:bookmarkEnd w:id="54"/>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递交地址：巴中市公安局巴州区分局；</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联系人及联系电话：何老师、13981688885。</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联系人及联系电话：李老师、0827-8668888。</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3"/>
        <w:spacing w:line="360" w:lineRule="auto"/>
        <w:rPr>
          <w:rFonts w:ascii="方正仿宋_GBK" w:hAnsi="方正仿宋_GBK"/>
          <w:sz w:val="28"/>
          <w:szCs w:val="28"/>
        </w:rPr>
      </w:pPr>
      <w:bookmarkStart w:id="55" w:name="_Toc27803"/>
      <w:bookmarkStart w:id="56" w:name="_Toc17989"/>
      <w:bookmarkStart w:id="57" w:name="_Toc19621"/>
      <w:bookmarkStart w:id="58" w:name="_Toc18960"/>
      <w:bookmarkStart w:id="59" w:name="_Toc10466"/>
      <w:bookmarkStart w:id="60" w:name="_Toc17363"/>
      <w:r>
        <w:rPr>
          <w:rFonts w:hint="eastAsia" w:ascii="方正仿宋_GBK" w:hAnsi="方正仿宋_GBK"/>
          <w:sz w:val="28"/>
          <w:szCs w:val="28"/>
        </w:rPr>
        <w:t>十三、保证金及履约保证金</w:t>
      </w:r>
      <w:bookmarkEnd w:id="55"/>
      <w:bookmarkEnd w:id="56"/>
      <w:bookmarkEnd w:id="57"/>
      <w:bookmarkEnd w:id="58"/>
      <w:bookmarkEnd w:id="59"/>
      <w:bookmarkEnd w:id="60"/>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13.1、询价保证金：</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13.2、履约保证金：</w:t>
      </w:r>
    </w:p>
    <w:p>
      <w:pPr>
        <w:spacing w:line="360" w:lineRule="auto"/>
        <w:ind w:firstLine="843" w:firstLineChars="300"/>
        <w:rPr>
          <w:rFonts w:ascii="方正仿宋_GBK" w:hAnsi="方正仿宋_GBK" w:eastAsia="方正仿宋_GBK" w:cs="方正仿宋_GBK"/>
          <w:b/>
          <w:bCs/>
          <w:sz w:val="28"/>
          <w:szCs w:val="28"/>
        </w:rPr>
      </w:pPr>
      <w:bookmarkStart w:id="61" w:name="_Toc2065"/>
      <w:bookmarkStart w:id="62" w:name="_Toc22218"/>
      <w:bookmarkStart w:id="63" w:name="_Toc297"/>
      <w:r>
        <w:rPr>
          <w:rFonts w:hint="eastAsia" w:ascii="方正仿宋_GBK" w:hAnsi="方正仿宋_GBK" w:eastAsia="方正仿宋_GBK" w:cs="方正仿宋_GBK"/>
          <w:b/>
          <w:bCs/>
          <w:sz w:val="28"/>
          <w:szCs w:val="28"/>
        </w:rPr>
        <w:t>本项目不收取。</w:t>
      </w:r>
    </w:p>
    <w:p>
      <w:pPr>
        <w:pStyle w:val="3"/>
        <w:spacing w:line="360" w:lineRule="auto"/>
        <w:rPr>
          <w:rFonts w:ascii="方正仿宋_GBK" w:hAnsi="方正仿宋_GBK"/>
          <w:sz w:val="28"/>
          <w:szCs w:val="28"/>
        </w:rPr>
      </w:pPr>
      <w:r>
        <w:rPr>
          <w:rFonts w:hint="eastAsia" w:ascii="方正仿宋_GBK" w:hAnsi="方正仿宋_GBK"/>
          <w:sz w:val="28"/>
          <w:szCs w:val="28"/>
        </w:rPr>
        <w:t>十四、合同草案</w:t>
      </w:r>
      <w:bookmarkEnd w:id="61"/>
      <w:bookmarkEnd w:id="62"/>
      <w:bookmarkEnd w:id="63"/>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合同编号：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签订地点：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  年   月   日</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采购人（甲方）：巴中市公安局巴州区分局</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供应商（乙方）：</w:t>
      </w:r>
    </w:p>
    <w:p>
      <w:pPr>
        <w:rPr>
          <w:rFonts w:ascii="方正仿宋_GBK" w:hAnsi="方正仿宋_GBK" w:eastAsia="方正仿宋_GBK" w:cs="方正仿宋_GBK"/>
          <w:sz w:val="28"/>
        </w:rPr>
      </w:pPr>
      <w:r>
        <w:rPr>
          <w:rFonts w:hint="eastAsia" w:ascii="方正仿宋_GBK" w:hAnsi="方正仿宋_GBK" w:eastAsia="方正仿宋_GBK" w:cs="方正仿宋_GBK"/>
          <w:sz w:val="28"/>
        </w:rPr>
        <w:t>参照《中华人民共和国政府采购法》、《中华人民共和国民法典》及</w:t>
      </w:r>
      <w:r>
        <w:rPr>
          <w:rFonts w:hint="eastAsia" w:ascii="方正仿宋_GBK" w:hAnsi="方正仿宋_GBK" w:eastAsia="方正仿宋_GBK" w:cs="方正仿宋_GBK"/>
          <w:sz w:val="28"/>
          <w:u w:val="single"/>
        </w:rPr>
        <w:t>巴中市公安局巴州区分局标准化信息采集系统建设采购项目</w:t>
      </w:r>
      <w:r>
        <w:rPr>
          <w:rFonts w:hint="eastAsia" w:ascii="方正仿宋_GBK" w:hAnsi="方正仿宋_GBK" w:eastAsia="方正仿宋_GBK" w:cs="方正仿宋_GBK"/>
          <w:sz w:val="28"/>
        </w:rPr>
        <w:t>（项目编号：</w:t>
      </w:r>
      <w:r>
        <w:rPr>
          <w:rFonts w:hint="eastAsia" w:ascii="方正仿宋_GBK" w:hAnsi="方正仿宋_GBK" w:eastAsia="方正仿宋_GBK" w:cs="方正仿宋_GBK"/>
          <w:sz w:val="28"/>
          <w:u w:val="single"/>
        </w:rPr>
        <w:t>SCZJDL〔2023〕83号</w:t>
      </w:r>
      <w:r>
        <w:rPr>
          <w:rFonts w:hint="eastAsia" w:ascii="方正仿宋_GBK" w:hAnsi="方正仿宋_GBK" w:eastAsia="方正仿宋_GBK" w:cs="方正仿宋_GBK"/>
          <w:sz w:val="28"/>
        </w:rPr>
        <w:t>）的《询价通知书》、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一、合同货物</w:t>
      </w:r>
    </w:p>
    <w:tbl>
      <w:tblPr>
        <w:tblStyle w:val="22"/>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941"/>
        <w:gridCol w:w="750"/>
        <w:gridCol w:w="641"/>
        <w:gridCol w:w="955"/>
        <w:gridCol w:w="873"/>
        <w:gridCol w:w="939"/>
        <w:gridCol w:w="873"/>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8"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货物品名</w:t>
            </w:r>
          </w:p>
        </w:tc>
        <w:tc>
          <w:tcPr>
            <w:tcW w:w="9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规格</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型号</w:t>
            </w:r>
          </w:p>
        </w:tc>
        <w:tc>
          <w:tcPr>
            <w:tcW w:w="750"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6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955"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（元）</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（元</w:t>
            </w:r>
          </w:p>
        </w:tc>
        <w:tc>
          <w:tcPr>
            <w:tcW w:w="939"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随机</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配件</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交货期</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资金来源（元）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r>
    </w:tbl>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二、合同总价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合同总价为人民币大写：</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元，即RMB￥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元；本合同执行期间合同总价不变，甲方无须另向乙方支付本合同规定之外的其他任何费用。</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三、质量要求</w:t>
      </w:r>
      <w:r>
        <w:rPr>
          <w:rFonts w:hint="eastAsia" w:ascii="方正仿宋_GBK" w:hAnsi="方正仿宋_GBK" w:eastAsia="方正仿宋_GBK" w:cs="方正仿宋_GBK"/>
          <w:b/>
          <w:sz w:val="28"/>
          <w:szCs w:val="28"/>
        </w:rPr>
        <w:tab/>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1.乙方须提供全新的货物（含零部件、配件等），表面无划伤、无碰撞痕迹，且权属清楚，不得侵害他人的知识产权。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2.货物必须符合或优于国家（行业）</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标准，以及本项目询价通知书的质量要求和技术指标与出厂标准。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3.乙方须在本合同签订之日起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日内送交货物成品样品给甲方确认，在甲方出具样品确认书并封存成品样品外观尺寸后，乙方才能按样生产，并以此样品作为验收样品；</w:t>
      </w:r>
      <w:r>
        <w:rPr>
          <w:rFonts w:hint="eastAsia" w:ascii="方正仿宋_GBK" w:hAnsi="方正仿宋_GBK" w:eastAsia="方正仿宋_GBK" w:cs="方正仿宋_GBK"/>
          <w:color w:val="000000" w:themeColor="text1"/>
          <w:sz w:val="28"/>
          <w:szCs w:val="28"/>
          <w14:textFill>
            <w14:solidFill>
              <w14:schemeClr w14:val="tx1"/>
            </w14:solidFill>
          </w14:textFill>
        </w:rPr>
        <w:t>供应商提供的每批货物上均应有产品质量检验合格标志。</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4.货物制造质量出现问题，乙方应负责三包（包修、包换、包退），费用由乙方负担，甲方有权到乙方生产场地检查货物质量和生产进度。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5.货物到现场后由于甲方保管不当造成的质量问题，乙方亦应负责修理，但费用由甲方负担。</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四、交货及验收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1.乙方交货期限为合同签订生效后的</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日内，在合同签订生效之日起（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）天内交货到甲方指定地点，随即在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日内全部完成安装调试验收合格交付使用 (如由于采购人的原因造成合同延迟签订或验收的，时间顺延)。交货验收时须提供产品质检部门从同类产品中抽样检查合格的检测报告。</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2.验收由甲方组织，乙方配合进行：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货物在乙方通知安装调试完毕后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日内初步验收。初步验收合格后，进入</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天试用期；试用期间发生一般性质量问题，修复后试用期相应顺延；试用期结束后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日内完成最终验收，如质量验收合格，双方签署《质量验收合格证明书》。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验收标准：按国家有关规定以及甲方询价通知书的质量要求和技术指标、乙方的投标文件及承诺与本合同约定标准进行验收；甲乙双方如对质量要求和技术指标的约定标准有相互抵触或异议的事项，由甲方在询价通知书及响应文件中按质量要求和技术指标比较优胜的原则确定该项的约定标准进行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(4)如质量验收合格，双方签署质量验收报告。</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日内，甲方无故不进行验收工作并已使用货物的，视同验收合格。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5.如货物经乙方</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次维修仍不能达到合同约定的质量标准，甲方有权退货，并视作乙方不能交付货物且须支付违约赔偿金给甲方，甲方还可依法追究乙方的违约责任。</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6.其他未尽事宜应严格严格按照《财政部关于进一步加强政府采购和履约验收管理的指导意见》（财库〔2016〕205 号）、《巴中市财政局关于进一步加强政府采购项目合同履约验收管理工作的通知》（巴财采〔2021〕21 号）的要求、供应商响应文件进行验收。 </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五、付款方式</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合同签订后5个工作日内支付合同总金额的40%为预付款，所有货物交付，安装调试且验收合格后5个工作日内，采购人向成交供应商支付合同总金额的60</w:t>
      </w:r>
      <w:r>
        <w:rPr>
          <w:rFonts w:hint="eastAsia" w:ascii="方正仿宋_GBK" w:hAnsi="方正仿宋_GBK" w:eastAsia="方正仿宋_GBK" w:cs="方正仿宋_GBK"/>
          <w:sz w:val="28"/>
        </w:rPr>
        <w:t>%</w:t>
      </w:r>
      <w:r>
        <w:rPr>
          <w:rFonts w:hint="eastAsia" w:ascii="方正仿宋_GBK" w:hAnsi="方正仿宋_GBK" w:eastAsia="方正仿宋_GBK" w:cs="方正仿宋_GBK"/>
          <w:kern w:val="0"/>
          <w:sz w:val="28"/>
          <w:szCs w:val="28"/>
        </w:rPr>
        <w:t>。</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六、售后服务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1.产品质量售后：产品使用时，出现质量问题，采购人做好记录并通知供应商，供应商应在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小时内响应，</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小时内到场，</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小时内解决问题。</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（1）甲方无正当理由拒收货物的，甲方应偿付合同总价百分之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（2）甲方逾期支付货款的，除应及时付足货款外，应向乙方偿付欠款总额万分之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/天的违约金；逾期付款超过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天的，乙方有权终止合同；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（3）甲方偿付的违约金不足以弥补乙方损失的，还应按乙方损失尚未弥补的部分，支付赔偿金给乙方。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（1）乙方交付的货物质量不符合合同规定的，乙方应向甲方支付合同总价的百分之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的违约金，并须在合同规定的交货时间内更换合格的货物给甲方，否则，视作乙方不能交付货物而违约，按本条本款下述第“（2）”项规定由乙方偿付违约赔偿金给甲方。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（2）乙方不能交付货物或逾期交付货物而违约的，除应及时交足货物外，应向甲方偿付逾期交货部分货款总额的万分之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/天的违约金；逾期交货超过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天，甲方有权终止合同，乙方则应按合同总价的百分之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的款额向甲方偿付赔偿金，并须全额退还甲方已经付给乙方的货款及其利息。</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天内无条件更换合格的货物，如逾期不能更换合格的货物，甲方有权终止本合同，乙方应另付合同总价的百分之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的赔偿金给甲方。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向甲方支付违约金。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（5）乙方偿付的违约金不足以弥补甲方损失的，还应按甲方损失尚未弥补的部分，支付赔偿金给甲方。</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八、争议解决办法</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2.合同履行期间，若双方发生争议，可协商或由有关部门调解解决，协商或调解不成的，由当事人依法维护其合法权益。</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九、其他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1.如有未尽事宜，由双方依法订立补充合同。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2.本合同双方应加盖骑缝章。</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3.本合同一式四份，自双方签章并经代理机构审核编号后生效。甲方、乙方、政府采购管理部门、采购代理机构各一份。</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乙方（盖章）：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pPr>
        <w:spacing w:line="360" w:lineRule="auto"/>
        <w:rPr>
          <w:rFonts w:cs="方正仿宋_GBK"/>
          <w:szCs w:val="28"/>
        </w:rPr>
      </w:pPr>
      <w:r>
        <w:rPr>
          <w:rFonts w:hint="eastAsia" w:ascii="方正仿宋_GBK" w:hAnsi="方正仿宋_GBK" w:eastAsia="方正仿宋_GBK" w:cs="方正仿宋_GBK"/>
          <w:sz w:val="28"/>
          <w:szCs w:val="28"/>
        </w:rPr>
        <w:t xml:space="preserve">签约日期：  年  月  日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签约日期：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F247DA2-8F01-4EF5-9E57-358C295EAB6F}"/>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2A01A0FE-6DE4-4A93-8683-EBB37B2B7113}"/>
  </w:font>
  <w:font w:name="Microsoft JhengHei">
    <w:panose1 w:val="020B0604030504040204"/>
    <w:charset w:val="88"/>
    <w:family w:val="swiss"/>
    <w:pitch w:val="default"/>
    <w:sig w:usb0="00000087" w:usb1="28AF4000" w:usb2="00000016" w:usb3="00000000" w:csb0="00100009" w:csb1="00000000"/>
  </w:font>
  <w:font w:name="SimSun-18030">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B56654C-7B7E-4CF6-882F-D24C2323CCF0}"/>
  </w:font>
  <w:font w:name="仿宋">
    <w:panose1 w:val="02010609060101010101"/>
    <w:charset w:val="86"/>
    <w:family w:val="modern"/>
    <w:pitch w:val="default"/>
    <w:sig w:usb0="800002BF" w:usb1="38CF7CFA" w:usb2="00000016" w:usb3="00000000" w:csb0="00040001" w:csb1="00000000"/>
    <w:embedRegular r:id="rId4" w:fontKey="{41AFB2B2-A5B3-4745-85B2-4CD68F3733E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7</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ixA+b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7</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30</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Ho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gHoUsQBAACQAwAADgAAAAAAAAABACAAAAAeAQAAZHJzL2Uyb0RvYy54bWxQ&#10;SwUGAAAAAAYABgBZAQAAVAU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30</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36</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Ip8MBAACQAwAADgAAAGRycy9lMm9Eb2MueG1srVPNjtMwEL4j8Q6W&#10;79RpE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XW4in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36</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39DF5"/>
    <w:multiLevelType w:val="singleLevel"/>
    <w:tmpl w:val="02D39DF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ODg4NWQ5MGRhYjQyOWFjNGU4ZWExYjEwN2Y5ZTEifQ=="/>
  </w:docVars>
  <w:rsids>
    <w:rsidRoot w:val="00172A27"/>
    <w:rsid w:val="00000F91"/>
    <w:rsid w:val="00037576"/>
    <w:rsid w:val="0005506D"/>
    <w:rsid w:val="0008692D"/>
    <w:rsid w:val="0009541C"/>
    <w:rsid w:val="000A7E4C"/>
    <w:rsid w:val="000E4FF5"/>
    <w:rsid w:val="000F73D3"/>
    <w:rsid w:val="00143976"/>
    <w:rsid w:val="00153BCE"/>
    <w:rsid w:val="00167CE6"/>
    <w:rsid w:val="00167EFA"/>
    <w:rsid w:val="00172A27"/>
    <w:rsid w:val="001F37CB"/>
    <w:rsid w:val="00206DBB"/>
    <w:rsid w:val="00243C66"/>
    <w:rsid w:val="0026214A"/>
    <w:rsid w:val="002726CF"/>
    <w:rsid w:val="00283C96"/>
    <w:rsid w:val="002E08B6"/>
    <w:rsid w:val="002F028B"/>
    <w:rsid w:val="0032361A"/>
    <w:rsid w:val="00330AA9"/>
    <w:rsid w:val="003414E4"/>
    <w:rsid w:val="003552E3"/>
    <w:rsid w:val="0036110E"/>
    <w:rsid w:val="00364E25"/>
    <w:rsid w:val="00366455"/>
    <w:rsid w:val="003703BD"/>
    <w:rsid w:val="00384F52"/>
    <w:rsid w:val="003A0B95"/>
    <w:rsid w:val="00415BD4"/>
    <w:rsid w:val="00420F71"/>
    <w:rsid w:val="00450F1F"/>
    <w:rsid w:val="004A2BEE"/>
    <w:rsid w:val="004A3DD7"/>
    <w:rsid w:val="004A52F3"/>
    <w:rsid w:val="004B0A0B"/>
    <w:rsid w:val="004B6CB2"/>
    <w:rsid w:val="004E30E9"/>
    <w:rsid w:val="00503C59"/>
    <w:rsid w:val="00557F17"/>
    <w:rsid w:val="0056777F"/>
    <w:rsid w:val="005C3E06"/>
    <w:rsid w:val="005C70E9"/>
    <w:rsid w:val="00644CD9"/>
    <w:rsid w:val="006646F9"/>
    <w:rsid w:val="006827CA"/>
    <w:rsid w:val="00693D1B"/>
    <w:rsid w:val="006A175F"/>
    <w:rsid w:val="006A40C1"/>
    <w:rsid w:val="006C22BB"/>
    <w:rsid w:val="006E1F12"/>
    <w:rsid w:val="006F01F3"/>
    <w:rsid w:val="006F38C5"/>
    <w:rsid w:val="007066AD"/>
    <w:rsid w:val="00715DF4"/>
    <w:rsid w:val="007264E8"/>
    <w:rsid w:val="007300DC"/>
    <w:rsid w:val="00770FA3"/>
    <w:rsid w:val="007833BF"/>
    <w:rsid w:val="00795614"/>
    <w:rsid w:val="00804D29"/>
    <w:rsid w:val="00810441"/>
    <w:rsid w:val="008463FC"/>
    <w:rsid w:val="008734C4"/>
    <w:rsid w:val="00877AD9"/>
    <w:rsid w:val="00934D40"/>
    <w:rsid w:val="00955F54"/>
    <w:rsid w:val="0095786C"/>
    <w:rsid w:val="00967474"/>
    <w:rsid w:val="00990AC6"/>
    <w:rsid w:val="009D325E"/>
    <w:rsid w:val="009F13E7"/>
    <w:rsid w:val="009F5E0F"/>
    <w:rsid w:val="00A04325"/>
    <w:rsid w:val="00A211E0"/>
    <w:rsid w:val="00A33554"/>
    <w:rsid w:val="00A67ABE"/>
    <w:rsid w:val="00A761F0"/>
    <w:rsid w:val="00A864CD"/>
    <w:rsid w:val="00AA4B45"/>
    <w:rsid w:val="00AF7A8E"/>
    <w:rsid w:val="00B21578"/>
    <w:rsid w:val="00B22761"/>
    <w:rsid w:val="00B31A0C"/>
    <w:rsid w:val="00B3277B"/>
    <w:rsid w:val="00B53540"/>
    <w:rsid w:val="00BE2634"/>
    <w:rsid w:val="00BE2CD7"/>
    <w:rsid w:val="00C028CF"/>
    <w:rsid w:val="00C037D3"/>
    <w:rsid w:val="00C12D29"/>
    <w:rsid w:val="00C467DF"/>
    <w:rsid w:val="00C62D7B"/>
    <w:rsid w:val="00C63201"/>
    <w:rsid w:val="00C84BFF"/>
    <w:rsid w:val="00CC2322"/>
    <w:rsid w:val="00CD5584"/>
    <w:rsid w:val="00CD5BFC"/>
    <w:rsid w:val="00CF374D"/>
    <w:rsid w:val="00D011AC"/>
    <w:rsid w:val="00D0208E"/>
    <w:rsid w:val="00DA223A"/>
    <w:rsid w:val="00DD3A4D"/>
    <w:rsid w:val="00DE3C37"/>
    <w:rsid w:val="00DF4AE1"/>
    <w:rsid w:val="00DF6DF9"/>
    <w:rsid w:val="00E61771"/>
    <w:rsid w:val="00E65307"/>
    <w:rsid w:val="00EF3516"/>
    <w:rsid w:val="00F02EF5"/>
    <w:rsid w:val="00F266E0"/>
    <w:rsid w:val="00F3624E"/>
    <w:rsid w:val="00F43515"/>
    <w:rsid w:val="00FA640A"/>
    <w:rsid w:val="00FD0B14"/>
    <w:rsid w:val="00FE5A59"/>
    <w:rsid w:val="012F7855"/>
    <w:rsid w:val="01303AC5"/>
    <w:rsid w:val="016D3AE5"/>
    <w:rsid w:val="01CF3C94"/>
    <w:rsid w:val="02D62D89"/>
    <w:rsid w:val="03861B50"/>
    <w:rsid w:val="045D1075"/>
    <w:rsid w:val="04DD5D12"/>
    <w:rsid w:val="04F43F68"/>
    <w:rsid w:val="051B3B9E"/>
    <w:rsid w:val="0526160E"/>
    <w:rsid w:val="05CE3DDC"/>
    <w:rsid w:val="05D9472B"/>
    <w:rsid w:val="05FD666C"/>
    <w:rsid w:val="066245DF"/>
    <w:rsid w:val="06807F27"/>
    <w:rsid w:val="068A6D20"/>
    <w:rsid w:val="079601DB"/>
    <w:rsid w:val="07F114E2"/>
    <w:rsid w:val="08A51879"/>
    <w:rsid w:val="08FE129F"/>
    <w:rsid w:val="092C5F7A"/>
    <w:rsid w:val="09523172"/>
    <w:rsid w:val="09E54433"/>
    <w:rsid w:val="0A481E7F"/>
    <w:rsid w:val="0B1701D0"/>
    <w:rsid w:val="0B6F3378"/>
    <w:rsid w:val="0C132268"/>
    <w:rsid w:val="0C42010B"/>
    <w:rsid w:val="0D7F5D98"/>
    <w:rsid w:val="0D870F11"/>
    <w:rsid w:val="0DA3127A"/>
    <w:rsid w:val="0F1C059B"/>
    <w:rsid w:val="0FE77FD2"/>
    <w:rsid w:val="107B3053"/>
    <w:rsid w:val="119C5E3E"/>
    <w:rsid w:val="11A35E37"/>
    <w:rsid w:val="121205B6"/>
    <w:rsid w:val="12F11306"/>
    <w:rsid w:val="12FC436D"/>
    <w:rsid w:val="13095F5B"/>
    <w:rsid w:val="1312766E"/>
    <w:rsid w:val="136D0DF2"/>
    <w:rsid w:val="13D635A2"/>
    <w:rsid w:val="140E00D7"/>
    <w:rsid w:val="151D7482"/>
    <w:rsid w:val="15386E66"/>
    <w:rsid w:val="15610E6C"/>
    <w:rsid w:val="156F5A43"/>
    <w:rsid w:val="162163A6"/>
    <w:rsid w:val="167A2ABA"/>
    <w:rsid w:val="169D0B26"/>
    <w:rsid w:val="173F626C"/>
    <w:rsid w:val="177E4F12"/>
    <w:rsid w:val="17AF720B"/>
    <w:rsid w:val="17B43302"/>
    <w:rsid w:val="17BE22CA"/>
    <w:rsid w:val="18BD1C8B"/>
    <w:rsid w:val="19626C39"/>
    <w:rsid w:val="19707050"/>
    <w:rsid w:val="19846820"/>
    <w:rsid w:val="19A410F8"/>
    <w:rsid w:val="19FA389C"/>
    <w:rsid w:val="1A2F1B2D"/>
    <w:rsid w:val="1A3D12D5"/>
    <w:rsid w:val="1A3D1DB9"/>
    <w:rsid w:val="1AEB1C42"/>
    <w:rsid w:val="1B180DD0"/>
    <w:rsid w:val="1B9A7C34"/>
    <w:rsid w:val="1BF105C9"/>
    <w:rsid w:val="1C9C271C"/>
    <w:rsid w:val="1CEF1C9A"/>
    <w:rsid w:val="1E0279B1"/>
    <w:rsid w:val="1E05210A"/>
    <w:rsid w:val="1E6D5441"/>
    <w:rsid w:val="1ED8781E"/>
    <w:rsid w:val="1F06438B"/>
    <w:rsid w:val="1F631B25"/>
    <w:rsid w:val="1FBF5098"/>
    <w:rsid w:val="20564772"/>
    <w:rsid w:val="2136082C"/>
    <w:rsid w:val="21805DB0"/>
    <w:rsid w:val="21951109"/>
    <w:rsid w:val="22471321"/>
    <w:rsid w:val="24410F93"/>
    <w:rsid w:val="246F40FD"/>
    <w:rsid w:val="24A52D69"/>
    <w:rsid w:val="24EF7CEA"/>
    <w:rsid w:val="24FC0B0B"/>
    <w:rsid w:val="25E12EF5"/>
    <w:rsid w:val="25E20968"/>
    <w:rsid w:val="27070CA1"/>
    <w:rsid w:val="27174C5C"/>
    <w:rsid w:val="27D112AE"/>
    <w:rsid w:val="28670769"/>
    <w:rsid w:val="28E0448E"/>
    <w:rsid w:val="292D0766"/>
    <w:rsid w:val="2A737F06"/>
    <w:rsid w:val="2A7B43AE"/>
    <w:rsid w:val="2B1858AD"/>
    <w:rsid w:val="2B75444A"/>
    <w:rsid w:val="2BCD24B1"/>
    <w:rsid w:val="2C6F4557"/>
    <w:rsid w:val="2CF66676"/>
    <w:rsid w:val="2D0C65EF"/>
    <w:rsid w:val="2D4F5666"/>
    <w:rsid w:val="2D61111D"/>
    <w:rsid w:val="2D687FBF"/>
    <w:rsid w:val="2D996041"/>
    <w:rsid w:val="2DD03B68"/>
    <w:rsid w:val="2E6D12FF"/>
    <w:rsid w:val="2EC33BE8"/>
    <w:rsid w:val="2F26112F"/>
    <w:rsid w:val="30B6379C"/>
    <w:rsid w:val="30E45A6F"/>
    <w:rsid w:val="314E571E"/>
    <w:rsid w:val="316E42C2"/>
    <w:rsid w:val="318339D6"/>
    <w:rsid w:val="31921B57"/>
    <w:rsid w:val="32244DFC"/>
    <w:rsid w:val="328238D1"/>
    <w:rsid w:val="32FA17D0"/>
    <w:rsid w:val="33475D6B"/>
    <w:rsid w:val="334A0A1F"/>
    <w:rsid w:val="33591463"/>
    <w:rsid w:val="335E433E"/>
    <w:rsid w:val="33AF2F9D"/>
    <w:rsid w:val="33F83171"/>
    <w:rsid w:val="34935741"/>
    <w:rsid w:val="359D3F45"/>
    <w:rsid w:val="36220C70"/>
    <w:rsid w:val="36950046"/>
    <w:rsid w:val="36E32390"/>
    <w:rsid w:val="37737FEE"/>
    <w:rsid w:val="378E5068"/>
    <w:rsid w:val="37BA58BB"/>
    <w:rsid w:val="3844757A"/>
    <w:rsid w:val="38A12410"/>
    <w:rsid w:val="38B913EA"/>
    <w:rsid w:val="39641F82"/>
    <w:rsid w:val="399009B2"/>
    <w:rsid w:val="399A3BF6"/>
    <w:rsid w:val="39DB6221"/>
    <w:rsid w:val="39F51522"/>
    <w:rsid w:val="3A95314A"/>
    <w:rsid w:val="3AF13C3D"/>
    <w:rsid w:val="3B7965CD"/>
    <w:rsid w:val="3C315BF1"/>
    <w:rsid w:val="3C4C6EF3"/>
    <w:rsid w:val="3CA13BED"/>
    <w:rsid w:val="3D3C762E"/>
    <w:rsid w:val="3D596B10"/>
    <w:rsid w:val="3D5E0CEB"/>
    <w:rsid w:val="3E484760"/>
    <w:rsid w:val="3E8044ED"/>
    <w:rsid w:val="3E877309"/>
    <w:rsid w:val="3FB7125F"/>
    <w:rsid w:val="3FC1012F"/>
    <w:rsid w:val="3FF56653"/>
    <w:rsid w:val="401F7F1F"/>
    <w:rsid w:val="40F46C43"/>
    <w:rsid w:val="411848FF"/>
    <w:rsid w:val="41342993"/>
    <w:rsid w:val="41BD0482"/>
    <w:rsid w:val="41D23E80"/>
    <w:rsid w:val="42470BBB"/>
    <w:rsid w:val="42484FE9"/>
    <w:rsid w:val="42F81943"/>
    <w:rsid w:val="43972F00"/>
    <w:rsid w:val="44B72CCB"/>
    <w:rsid w:val="450A1E65"/>
    <w:rsid w:val="456B1D5E"/>
    <w:rsid w:val="45F279A9"/>
    <w:rsid w:val="46030BCD"/>
    <w:rsid w:val="4603126E"/>
    <w:rsid w:val="47743CD8"/>
    <w:rsid w:val="47A218BB"/>
    <w:rsid w:val="481F723A"/>
    <w:rsid w:val="482E1623"/>
    <w:rsid w:val="487F030A"/>
    <w:rsid w:val="48BE4708"/>
    <w:rsid w:val="48CB0DCD"/>
    <w:rsid w:val="490A4C4E"/>
    <w:rsid w:val="49293FC3"/>
    <w:rsid w:val="492A6869"/>
    <w:rsid w:val="49CD0D54"/>
    <w:rsid w:val="4A2117CA"/>
    <w:rsid w:val="4A880170"/>
    <w:rsid w:val="4A9C3808"/>
    <w:rsid w:val="4AE14FD9"/>
    <w:rsid w:val="4B425273"/>
    <w:rsid w:val="4B4C0AC8"/>
    <w:rsid w:val="4BF239BB"/>
    <w:rsid w:val="4BF837A2"/>
    <w:rsid w:val="4C9269AF"/>
    <w:rsid w:val="4C964C57"/>
    <w:rsid w:val="4CC5453C"/>
    <w:rsid w:val="4D0A0F0D"/>
    <w:rsid w:val="4D73233C"/>
    <w:rsid w:val="4DF36DFD"/>
    <w:rsid w:val="4EE80B08"/>
    <w:rsid w:val="4FA94694"/>
    <w:rsid w:val="507A5F8E"/>
    <w:rsid w:val="5110327E"/>
    <w:rsid w:val="512D57DB"/>
    <w:rsid w:val="51B004A6"/>
    <w:rsid w:val="533320AD"/>
    <w:rsid w:val="53D73908"/>
    <w:rsid w:val="53FD1582"/>
    <w:rsid w:val="54B043B8"/>
    <w:rsid w:val="54EE4488"/>
    <w:rsid w:val="55266F3B"/>
    <w:rsid w:val="553E0876"/>
    <w:rsid w:val="559B4463"/>
    <w:rsid w:val="55CE6CAA"/>
    <w:rsid w:val="55E510AC"/>
    <w:rsid w:val="56442BBB"/>
    <w:rsid w:val="56AB19D2"/>
    <w:rsid w:val="5723129B"/>
    <w:rsid w:val="572D1669"/>
    <w:rsid w:val="574B347F"/>
    <w:rsid w:val="579D2DD8"/>
    <w:rsid w:val="57BA4B5E"/>
    <w:rsid w:val="57D34819"/>
    <w:rsid w:val="5825522E"/>
    <w:rsid w:val="58896EB8"/>
    <w:rsid w:val="592D3CE7"/>
    <w:rsid w:val="5956339D"/>
    <w:rsid w:val="59D81D4B"/>
    <w:rsid w:val="59FB55E7"/>
    <w:rsid w:val="5BF76D7E"/>
    <w:rsid w:val="5C157045"/>
    <w:rsid w:val="5C52370C"/>
    <w:rsid w:val="5CE24DE9"/>
    <w:rsid w:val="5DB20C5F"/>
    <w:rsid w:val="5E5E2B95"/>
    <w:rsid w:val="5E8A5B27"/>
    <w:rsid w:val="5EE428ED"/>
    <w:rsid w:val="5F9F09A2"/>
    <w:rsid w:val="60067EFC"/>
    <w:rsid w:val="601E51C7"/>
    <w:rsid w:val="60C254DF"/>
    <w:rsid w:val="60EE6053"/>
    <w:rsid w:val="613C20BE"/>
    <w:rsid w:val="61F75FB6"/>
    <w:rsid w:val="6247210C"/>
    <w:rsid w:val="62917AA2"/>
    <w:rsid w:val="62DE4402"/>
    <w:rsid w:val="62EC076F"/>
    <w:rsid w:val="6417097E"/>
    <w:rsid w:val="64801FB8"/>
    <w:rsid w:val="64C0359C"/>
    <w:rsid w:val="654A5C21"/>
    <w:rsid w:val="65553C89"/>
    <w:rsid w:val="65FF07B9"/>
    <w:rsid w:val="661C0C7C"/>
    <w:rsid w:val="664F0CB2"/>
    <w:rsid w:val="66D57D17"/>
    <w:rsid w:val="69200C09"/>
    <w:rsid w:val="69E93B36"/>
    <w:rsid w:val="6A4F3D78"/>
    <w:rsid w:val="6A536C94"/>
    <w:rsid w:val="6AB22299"/>
    <w:rsid w:val="6AFA5111"/>
    <w:rsid w:val="6BF449CD"/>
    <w:rsid w:val="6C045510"/>
    <w:rsid w:val="6C134AAA"/>
    <w:rsid w:val="6C7E24CF"/>
    <w:rsid w:val="6C960E8E"/>
    <w:rsid w:val="6CB42B98"/>
    <w:rsid w:val="6D4D7655"/>
    <w:rsid w:val="6E3404E7"/>
    <w:rsid w:val="6F762728"/>
    <w:rsid w:val="6FFA6FB8"/>
    <w:rsid w:val="70375D6A"/>
    <w:rsid w:val="7045438D"/>
    <w:rsid w:val="706F1065"/>
    <w:rsid w:val="712A52FE"/>
    <w:rsid w:val="716F055D"/>
    <w:rsid w:val="7197506A"/>
    <w:rsid w:val="71B2536F"/>
    <w:rsid w:val="720F447A"/>
    <w:rsid w:val="738108E5"/>
    <w:rsid w:val="73A32EF4"/>
    <w:rsid w:val="74560DC5"/>
    <w:rsid w:val="74675424"/>
    <w:rsid w:val="74886234"/>
    <w:rsid w:val="75AE4E70"/>
    <w:rsid w:val="78120D62"/>
    <w:rsid w:val="78927AFF"/>
    <w:rsid w:val="78F07D11"/>
    <w:rsid w:val="794F5518"/>
    <w:rsid w:val="79517126"/>
    <w:rsid w:val="795E03AD"/>
    <w:rsid w:val="7A6D41AF"/>
    <w:rsid w:val="7B0073DC"/>
    <w:rsid w:val="7B3960C4"/>
    <w:rsid w:val="7B533824"/>
    <w:rsid w:val="7B787792"/>
    <w:rsid w:val="7CA52CD0"/>
    <w:rsid w:val="7CC37FA4"/>
    <w:rsid w:val="7DA404B6"/>
    <w:rsid w:val="7DDD373D"/>
    <w:rsid w:val="7E3478FA"/>
    <w:rsid w:val="7E634C57"/>
    <w:rsid w:val="7E6D33A0"/>
    <w:rsid w:val="7EED7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outlineLvl w:val="0"/>
    </w:pPr>
    <w:rPr>
      <w:rFonts w:eastAsia="方正仿宋_GBK" w:cs="方正仿宋_GBK"/>
      <w:b/>
      <w:kern w:val="44"/>
      <w:sz w:val="32"/>
      <w:szCs w:val="32"/>
    </w:rPr>
  </w:style>
  <w:style w:type="paragraph" w:styleId="4">
    <w:name w:val="heading 2"/>
    <w:basedOn w:val="1"/>
    <w:next w:val="1"/>
    <w:link w:val="27"/>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5">
    <w:name w:val="heading 3"/>
    <w:basedOn w:val="1"/>
    <w:next w:val="1"/>
    <w:link w:val="41"/>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0"/>
    <w:pPr>
      <w:spacing w:after="120"/>
    </w:pPr>
    <w:rPr>
      <w:rFonts w:ascii="Times New Roman" w:hAnsi="Times New Roman" w:eastAsia="宋体" w:cs="Times New Roman"/>
      <w:szCs w:val="24"/>
    </w:rPr>
  </w:style>
  <w:style w:type="paragraph" w:styleId="6">
    <w:name w:val="toc 7"/>
    <w:basedOn w:val="1"/>
    <w:next w:val="1"/>
    <w:unhideWhenUsed/>
    <w:qFormat/>
    <w:uiPriority w:val="39"/>
    <w:pPr>
      <w:ind w:left="2520" w:leftChars="1200"/>
    </w:pPr>
  </w:style>
  <w:style w:type="paragraph" w:styleId="7">
    <w:name w:val="Document Map"/>
    <w:basedOn w:val="1"/>
    <w:link w:val="33"/>
    <w:unhideWhenUsed/>
    <w:qFormat/>
    <w:uiPriority w:val="99"/>
    <w:rPr>
      <w:rFonts w:ascii="宋体" w:eastAsia="宋体"/>
      <w:sz w:val="18"/>
      <w:szCs w:val="18"/>
    </w:rPr>
  </w:style>
  <w:style w:type="paragraph" w:styleId="8">
    <w:name w:val="Body Text 3"/>
    <w:basedOn w:val="1"/>
    <w:qFormat/>
    <w:uiPriority w:val="0"/>
    <w:pPr>
      <w:widowControl/>
      <w:jc w:val="center"/>
    </w:pPr>
    <w:rPr>
      <w:sz w:val="10"/>
      <w:szCs w:val="10"/>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style>
  <w:style w:type="paragraph" w:styleId="12">
    <w:name w:val="Balloon Text"/>
    <w:basedOn w:val="1"/>
    <w:link w:val="32"/>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Subtitle"/>
    <w:basedOn w:val="1"/>
    <w:next w:val="1"/>
    <w:qFormat/>
    <w:uiPriority w:val="0"/>
    <w:rPr>
      <w:sz w:val="28"/>
    </w:r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6">
    <w:name w:val="Heading2"/>
    <w:basedOn w:val="1"/>
    <w:next w:val="1"/>
    <w:semiHidden/>
    <w:qFormat/>
    <w:uiPriority w:val="0"/>
    <w:pPr>
      <w:keepNext/>
      <w:keepLines/>
      <w:spacing w:before="260" w:after="260" w:line="416" w:lineRule="auto"/>
    </w:pPr>
    <w:rPr>
      <w:rFonts w:ascii="Cambria" w:hAnsi="Cambria" w:cs="Times New Roman"/>
      <w:b/>
      <w:bCs/>
      <w:sz w:val="32"/>
      <w:szCs w:val="32"/>
    </w:rPr>
  </w:style>
  <w:style w:type="character" w:customStyle="1" w:styleId="27">
    <w:name w:val="标题 2 Char"/>
    <w:basedOn w:val="24"/>
    <w:link w:val="4"/>
    <w:qFormat/>
    <w:uiPriority w:val="0"/>
    <w:rPr>
      <w:rFonts w:ascii="方正仿宋_GBK" w:hAnsi="方正仿宋_GBK" w:eastAsia="方正仿宋_GBK" w:cs="方正仿宋_GBK"/>
      <w:b/>
      <w:bCs/>
      <w:sz w:val="32"/>
      <w:szCs w:val="32"/>
    </w:rPr>
  </w:style>
  <w:style w:type="character" w:customStyle="1" w:styleId="28">
    <w:name w:val="正文文本 字符"/>
    <w:basedOn w:val="24"/>
    <w:qFormat/>
    <w:uiPriority w:val="0"/>
    <w:rPr>
      <w:rFonts w:ascii="Times New Roman" w:hAnsi="Times New Roman" w:eastAsia="宋体" w:cs="Times New Roman"/>
      <w:szCs w:val="24"/>
    </w:rPr>
  </w:style>
  <w:style w:type="character" w:customStyle="1" w:styleId="29">
    <w:name w:val="页脚 Char"/>
    <w:basedOn w:val="24"/>
    <w:link w:val="13"/>
    <w:qFormat/>
    <w:uiPriority w:val="99"/>
    <w:rPr>
      <w:sz w:val="18"/>
      <w:szCs w:val="18"/>
    </w:rPr>
  </w:style>
  <w:style w:type="paragraph" w:customStyle="1" w:styleId="3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31">
    <w:name w:val="页眉 Char"/>
    <w:basedOn w:val="24"/>
    <w:link w:val="14"/>
    <w:semiHidden/>
    <w:qFormat/>
    <w:uiPriority w:val="99"/>
    <w:rPr>
      <w:kern w:val="2"/>
      <w:sz w:val="18"/>
      <w:szCs w:val="18"/>
    </w:rPr>
  </w:style>
  <w:style w:type="character" w:customStyle="1" w:styleId="32">
    <w:name w:val="批注框文本 Char"/>
    <w:basedOn w:val="24"/>
    <w:link w:val="12"/>
    <w:semiHidden/>
    <w:qFormat/>
    <w:uiPriority w:val="99"/>
    <w:rPr>
      <w:kern w:val="2"/>
      <w:sz w:val="18"/>
      <w:szCs w:val="18"/>
    </w:rPr>
  </w:style>
  <w:style w:type="character" w:customStyle="1" w:styleId="33">
    <w:name w:val="文档结构图 Char"/>
    <w:basedOn w:val="24"/>
    <w:link w:val="7"/>
    <w:semiHidden/>
    <w:qFormat/>
    <w:uiPriority w:val="99"/>
    <w:rPr>
      <w:rFonts w:ascii="宋体" w:eastAsia="宋体"/>
      <w:kern w:val="2"/>
      <w:sz w:val="18"/>
      <w:szCs w:val="18"/>
    </w:rPr>
  </w:style>
  <w:style w:type="character" w:customStyle="1" w:styleId="34">
    <w:name w:val="font61"/>
    <w:basedOn w:val="24"/>
    <w:qFormat/>
    <w:uiPriority w:val="0"/>
    <w:rPr>
      <w:rFonts w:hint="eastAsia" w:ascii="宋体" w:hAnsi="宋体" w:eastAsia="宋体" w:cs="宋体"/>
      <w:color w:val="000000"/>
      <w:sz w:val="24"/>
      <w:szCs w:val="24"/>
      <w:u w:val="none"/>
    </w:rPr>
  </w:style>
  <w:style w:type="character" w:customStyle="1" w:styleId="35">
    <w:name w:val="font31"/>
    <w:basedOn w:val="24"/>
    <w:qFormat/>
    <w:uiPriority w:val="0"/>
    <w:rPr>
      <w:rFonts w:hint="eastAsia" w:ascii="Microsoft JhengHei" w:hAnsi="Microsoft JhengHei" w:eastAsia="Microsoft JhengHei" w:cs="Microsoft JhengHei"/>
      <w:color w:val="000000"/>
      <w:sz w:val="24"/>
      <w:szCs w:val="24"/>
      <w:u w:val="none"/>
    </w:rPr>
  </w:style>
  <w:style w:type="paragraph" w:customStyle="1" w:styleId="36">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7">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38">
    <w:name w:val="font01"/>
    <w:basedOn w:val="24"/>
    <w:qFormat/>
    <w:uiPriority w:val="0"/>
    <w:rPr>
      <w:rFonts w:hint="eastAsia" w:ascii="宋体" w:hAnsi="宋体" w:eastAsia="宋体" w:cs="宋体"/>
      <w:color w:val="000000"/>
      <w:sz w:val="18"/>
      <w:szCs w:val="18"/>
      <w:u w:val="none"/>
    </w:rPr>
  </w:style>
  <w:style w:type="paragraph" w:customStyle="1" w:styleId="39">
    <w:name w:val="列出段落1"/>
    <w:basedOn w:val="1"/>
    <w:qFormat/>
    <w:uiPriority w:val="1"/>
    <w:pPr>
      <w:spacing w:before="4"/>
      <w:ind w:left="440" w:firstLine="559"/>
    </w:pPr>
    <w:rPr>
      <w:rFonts w:ascii="方正仿宋_GBK" w:hAnsi="方正仿宋_GBK" w:eastAsia="方正仿宋_GBK" w:cs="方正仿宋_GBK"/>
      <w:lang w:val="zh-CN" w:bidi="zh-CN"/>
    </w:rPr>
  </w:style>
  <w:style w:type="character" w:customStyle="1" w:styleId="40">
    <w:name w:val="正文文本 Char"/>
    <w:basedOn w:val="24"/>
    <w:link w:val="2"/>
    <w:qFormat/>
    <w:uiPriority w:val="0"/>
    <w:rPr>
      <w:rFonts w:hint="eastAsia" w:ascii="方正仿宋_GBK" w:hAnsi="方正仿宋_GBK" w:eastAsia="方正仿宋_GBK" w:cs="方正仿宋_GBK"/>
      <w:kern w:val="2"/>
      <w:sz w:val="28"/>
      <w:szCs w:val="22"/>
    </w:rPr>
  </w:style>
  <w:style w:type="character" w:customStyle="1" w:styleId="41">
    <w:name w:val="标题 3 Char"/>
    <w:basedOn w:val="24"/>
    <w:link w:val="5"/>
    <w:qFormat/>
    <w:uiPriority w:val="0"/>
    <w:rPr>
      <w:rFonts w:hint="eastAsia" w:ascii="方正仿宋_GBK" w:hAnsi="方正仿宋_GBK" w:eastAsia="方正仿宋_GBK" w:cs="方正仿宋_GBK"/>
      <w:b/>
      <w:bCs/>
      <w:sz w:val="32"/>
      <w:szCs w:val="32"/>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styleId="43">
    <w:name w:val="List Paragraph"/>
    <w:basedOn w:val="1"/>
    <w:unhideWhenUsed/>
    <w:qFormat/>
    <w:uiPriority w:val="99"/>
    <w:pPr>
      <w:ind w:firstLine="420" w:firstLineChars="200"/>
    </w:pPr>
  </w:style>
  <w:style w:type="paragraph" w:customStyle="1" w:styleId="44">
    <w:name w:val="Default"/>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 w:type="paragraph" w:customStyle="1" w:styleId="45">
    <w:name w:val="Normal_1_0"/>
    <w:qFormat/>
    <w:uiPriority w:val="0"/>
    <w:rPr>
      <w:rFonts w:ascii="宋体" w:hAnsi="宋体" w:eastAsia="宋体" w:cs="Times New Roman"/>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42</Pages>
  <Words>3019</Words>
  <Characters>17213</Characters>
  <Lines>143</Lines>
  <Paragraphs>40</Paragraphs>
  <TotalTime>4</TotalTime>
  <ScaleCrop>false</ScaleCrop>
  <LinksUpToDate>false</LinksUpToDate>
  <CharactersWithSpaces>20192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2023-11-14T06:06:00Z</dcterms:created>
  <dc:creator>xb21cn</dc:creator>
  <cp:lastModifiedBy>Lonely</cp:lastModifiedBy>
  <cp:lastPrinted>2023-10-26T06:36:00Z</cp:lastPrinted>
  <dcterms:modified xsi:type="dcterms:W3CDTF">2023-11-16T03:19:45Z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704894929_btnclosed</vt:lpwstr>
  </property>
  <property fmtid="{D5CDD505-2E9C-101B-9397-08002B2CF9AE}" pid="4" name="ICV">
    <vt:lpwstr>26C7080C06A24F90B7D9083BD9733628_13</vt:lpwstr>
  </property>
</Properties>
</file>