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ind w:right="449" w:rightChars="214" w:firstLine="600"/>
        <w:jc w:val="center"/>
        <w:rPr>
          <w:rFonts w:hint="eastAsia" w:ascii="方正仿宋_GBK" w:hAnsi="方正仿宋_GBK" w:eastAsia="方正仿宋_GBK" w:cs="方正仿宋_GBK"/>
          <w:color w:val="000000"/>
          <w:sz w:val="30"/>
          <w:szCs w:val="30"/>
          <w:lang w:val="en-US" w:eastAsia="zh-CN"/>
        </w:rPr>
      </w:pPr>
      <w:r>
        <w:rPr>
          <w:rFonts w:hint="eastAsia" w:ascii="方正仿宋_GBK" w:hAnsi="方正仿宋_GBK" w:eastAsia="方正仿宋_GBK" w:cs="方正仿宋_GBK"/>
          <w:b/>
          <w:color w:val="000000"/>
          <w:sz w:val="30"/>
          <w:szCs w:val="30"/>
          <w:lang w:val="en-US" w:eastAsia="zh-CN"/>
        </w:rPr>
        <w:t>项目编号：</w:t>
      </w:r>
      <w:bookmarkStart w:id="0" w:name="【Bobole_项目编号_1】"/>
      <w:r>
        <w:rPr>
          <w:rFonts w:hint="eastAsia" w:ascii="方正仿宋_GBK" w:hAnsi="方正仿宋_GBK" w:eastAsia="方正仿宋_GBK" w:cs="方正仿宋_GBK"/>
          <w:b/>
          <w:color w:val="000000"/>
          <w:sz w:val="30"/>
          <w:szCs w:val="30"/>
          <w:lang w:val="en-US" w:eastAsia="zh-CN"/>
        </w:rPr>
        <w:t>511901202100149</w:t>
      </w:r>
      <w:bookmarkEnd w:id="0"/>
    </w:p>
    <w:p>
      <w:pPr>
        <w:jc w:val="center"/>
        <w:rPr>
          <w:rFonts w:hint="eastAsia" w:ascii="方正仿宋_GBK" w:hAnsi="方正仿宋_GBK" w:eastAsia="方正仿宋_GBK" w:cs="方正仿宋_GBK"/>
          <w:b/>
          <w:color w:val="000000"/>
          <w:sz w:val="36"/>
          <w:szCs w:val="36"/>
        </w:rPr>
      </w:pPr>
      <w:bookmarkStart w:id="1" w:name="【Bobole_项目名称】"/>
      <w:r>
        <w:rPr>
          <w:rFonts w:hint="eastAsia" w:ascii="方正仿宋_GBK" w:hAnsi="方正仿宋_GBK" w:eastAsia="方正仿宋_GBK" w:cs="方正仿宋_GBK"/>
          <w:b/>
          <w:color w:val="000000"/>
          <w:sz w:val="36"/>
          <w:szCs w:val="36"/>
        </w:rPr>
        <w:t>创文第三方指导咨询服务(第三次)</w:t>
      </w:r>
      <w:bookmarkEnd w:id="1"/>
    </w:p>
    <w:p>
      <w:pPr>
        <w:spacing w:before="936" w:beforeLines="300" w:after="624" w:afterLines="200"/>
        <w:jc w:val="center"/>
        <w:rPr>
          <w:rFonts w:hint="eastAsia" w:ascii="方正仿宋_GBK" w:hAnsi="方正仿宋_GBK" w:eastAsia="方正仿宋_GBK" w:cs="方正仿宋_GBK"/>
          <w:b/>
          <w:color w:val="000000"/>
          <w:sz w:val="72"/>
          <w:szCs w:val="72"/>
        </w:rPr>
      </w:pPr>
      <w:r>
        <w:rPr>
          <w:rFonts w:hint="eastAsia" w:ascii="方正仿宋_GBK" w:hAnsi="方正仿宋_GBK" w:eastAsia="方正仿宋_GBK" w:cs="方正仿宋_GBK"/>
          <w:b/>
          <w:color w:val="000000"/>
          <w:sz w:val="72"/>
          <w:szCs w:val="72"/>
        </w:rPr>
        <w:t>磋</w:t>
      </w:r>
    </w:p>
    <w:p>
      <w:pPr>
        <w:spacing w:before="624" w:beforeLines="200" w:after="624" w:afterLines="200"/>
        <w:jc w:val="center"/>
        <w:rPr>
          <w:rFonts w:hint="eastAsia" w:ascii="方正仿宋_GBK" w:hAnsi="方正仿宋_GBK" w:eastAsia="方正仿宋_GBK" w:cs="方正仿宋_GBK"/>
          <w:b/>
          <w:color w:val="000000"/>
          <w:sz w:val="72"/>
          <w:szCs w:val="72"/>
        </w:rPr>
      </w:pPr>
      <w:r>
        <w:rPr>
          <w:rFonts w:hint="eastAsia" w:ascii="方正仿宋_GBK" w:hAnsi="方正仿宋_GBK" w:eastAsia="方正仿宋_GBK" w:cs="方正仿宋_GBK"/>
          <w:b/>
          <w:color w:val="000000"/>
          <w:sz w:val="72"/>
          <w:szCs w:val="72"/>
        </w:rPr>
        <w:t>商</w:t>
      </w:r>
    </w:p>
    <w:p>
      <w:pPr>
        <w:spacing w:before="624" w:beforeLines="200" w:after="624" w:afterLines="200"/>
        <w:jc w:val="center"/>
        <w:rPr>
          <w:rFonts w:hint="eastAsia" w:ascii="方正仿宋_GBK" w:hAnsi="方正仿宋_GBK" w:eastAsia="方正仿宋_GBK" w:cs="方正仿宋_GBK"/>
          <w:b/>
          <w:color w:val="000000"/>
          <w:sz w:val="72"/>
          <w:szCs w:val="72"/>
        </w:rPr>
      </w:pPr>
      <w:r>
        <w:rPr>
          <w:rFonts w:hint="eastAsia" w:ascii="方正仿宋_GBK" w:hAnsi="方正仿宋_GBK" w:eastAsia="方正仿宋_GBK" w:cs="方正仿宋_GBK"/>
          <w:b/>
          <w:color w:val="000000"/>
          <w:sz w:val="72"/>
          <w:szCs w:val="72"/>
        </w:rPr>
        <w:t>文</w:t>
      </w:r>
    </w:p>
    <w:p>
      <w:pPr>
        <w:spacing w:before="624" w:beforeLines="200" w:after="624" w:afterLines="200"/>
        <w:jc w:val="center"/>
        <w:rPr>
          <w:rFonts w:hint="eastAsia" w:ascii="方正仿宋_GBK" w:hAnsi="方正仿宋_GBK" w:eastAsia="方正仿宋_GBK" w:cs="方正仿宋_GBK"/>
          <w:b/>
          <w:color w:val="000000"/>
          <w:sz w:val="84"/>
          <w:szCs w:val="84"/>
        </w:rPr>
      </w:pPr>
      <w:r>
        <w:rPr>
          <w:rFonts w:hint="eastAsia" w:ascii="方正仿宋_GBK" w:hAnsi="方正仿宋_GBK" w:eastAsia="方正仿宋_GBK" w:cs="方正仿宋_GBK"/>
          <w:b/>
          <w:color w:val="000000"/>
          <w:sz w:val="72"/>
          <w:szCs w:val="72"/>
        </w:rPr>
        <w:t>件</w:t>
      </w:r>
    </w:p>
    <w:p>
      <w:pPr>
        <w:spacing w:line="240" w:lineRule="auto"/>
        <w:jc w:val="center"/>
        <w:rPr>
          <w:rFonts w:hint="eastAsia" w:ascii="方正仿宋_GBK" w:hAnsi="方正仿宋_GBK" w:eastAsia="方正仿宋_GBK" w:cs="方正仿宋_GBK"/>
          <w:b/>
          <w:sz w:val="36"/>
          <w:szCs w:val="32"/>
        </w:rPr>
      </w:pPr>
      <w:bookmarkStart w:id="2" w:name="【Bobole_代理机构名称】"/>
      <w:r>
        <w:rPr>
          <w:rFonts w:hint="eastAsia" w:ascii="方正仿宋_GBK" w:hAnsi="方正仿宋_GBK" w:eastAsia="方正仿宋_GBK" w:cs="方正仿宋_GBK"/>
          <w:b/>
          <w:sz w:val="36"/>
          <w:szCs w:val="32"/>
        </w:rPr>
        <w:t>四川巴中经济开发区管理委员会</w:t>
      </w:r>
    </w:p>
    <w:p>
      <w:pPr>
        <w:spacing w:line="440" w:lineRule="exact"/>
        <w:jc w:val="center"/>
        <w:rPr>
          <w:rFonts w:hint="eastAsia" w:ascii="方正仿宋_GBK" w:hAnsi="方正仿宋_GBK" w:eastAsia="方正仿宋_GBK" w:cs="方正仿宋_GBK"/>
          <w:b/>
          <w:sz w:val="36"/>
          <w:szCs w:val="32"/>
        </w:rPr>
      </w:pPr>
      <w:r>
        <w:rPr>
          <w:rFonts w:hint="eastAsia" w:ascii="方正仿宋_GBK" w:hAnsi="方正仿宋_GBK" w:eastAsia="方正仿宋_GBK" w:cs="方正仿宋_GBK"/>
          <w:b/>
          <w:sz w:val="36"/>
          <w:szCs w:val="32"/>
        </w:rPr>
        <w:t>四川振嘉工程招标代理有限公司</w:t>
      </w:r>
      <w:bookmarkEnd w:id="2"/>
    </w:p>
    <w:p>
      <w:pPr>
        <w:jc w:val="center"/>
        <w:rPr>
          <w:rFonts w:hint="eastAsia" w:ascii="方正仿宋_GBK" w:hAnsi="方正仿宋_GBK" w:eastAsia="方正仿宋_GBK" w:cs="方正仿宋_GBK"/>
          <w:b/>
          <w:color w:val="000000"/>
          <w:sz w:val="36"/>
          <w:szCs w:val="36"/>
        </w:rPr>
      </w:pPr>
      <w:bookmarkStart w:id="3" w:name="【Bobole_当前年月】"/>
      <w:r>
        <w:rPr>
          <w:rFonts w:hint="eastAsia" w:ascii="方正仿宋_GBK" w:hAnsi="方正仿宋_GBK" w:eastAsia="方正仿宋_GBK" w:cs="方正仿宋_GBK"/>
          <w:b/>
          <w:color w:val="000000"/>
          <w:sz w:val="36"/>
          <w:szCs w:val="36"/>
        </w:rPr>
        <w:t>2022年01月</w:t>
      </w:r>
      <w:bookmarkEnd w:id="3"/>
    </w:p>
    <w:p>
      <w:pPr>
        <w:widowControl/>
        <w:jc w:val="left"/>
        <w:rPr>
          <w:rFonts w:hint="eastAsia" w:ascii="方正仿宋_GBK" w:hAnsi="方正仿宋_GBK" w:eastAsia="方正仿宋_GBK" w:cs="方正仿宋_GBK"/>
        </w:rPr>
      </w:pPr>
      <w:r>
        <w:rPr>
          <w:rFonts w:hint="eastAsia" w:ascii="方正仿宋_GBK" w:hAnsi="方正仿宋_GBK" w:eastAsia="方正仿宋_GBK" w:cs="方正仿宋_GBK"/>
        </w:rPr>
        <w:br w:type="page"/>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eastAsia="方正仿宋_GBK"/>
          <w:b/>
          <w:sz w:val="32"/>
          <w:szCs w:val="32"/>
        </w:rPr>
      </w:pPr>
      <w:bookmarkStart w:id="4" w:name="【Bobole_目录】"/>
      <w:r>
        <w:rPr>
          <w:rFonts w:hint="eastAsia" w:ascii="方正仿宋_GBK" w:eastAsia="方正仿宋_GBK"/>
          <w:b/>
          <w:sz w:val="32"/>
          <w:szCs w:val="32"/>
        </w:rPr>
        <w:t>廉洁自律书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宋体" w:eastAsia="方正仿宋_GBK" w:cs="宋体"/>
          <w:sz w:val="28"/>
          <w:szCs w:val="28"/>
        </w:rPr>
      </w:pPr>
      <w:r>
        <w:rPr>
          <w:rFonts w:ascii="方正仿宋_GBK" w:hAnsi="宋体" w:eastAsia="方正仿宋_GBK" w:cs="宋体"/>
          <w:sz w:val="28"/>
          <w:szCs w:val="28"/>
        </w:rPr>
        <w:t>为进一步规范四川振嘉工程招标代理有限公司政府采购行为</w:t>
      </w:r>
      <w:r>
        <w:rPr>
          <w:rFonts w:hint="eastAsia" w:ascii="方正仿宋_GBK" w:hAnsi="宋体" w:eastAsia="方正仿宋_GBK" w:cs="宋体"/>
          <w:sz w:val="28"/>
          <w:szCs w:val="28"/>
        </w:rPr>
        <w:t>，</w:t>
      </w:r>
      <w:r>
        <w:rPr>
          <w:rFonts w:ascii="方正仿宋_GBK" w:hAnsi="宋体" w:eastAsia="方正仿宋_GBK" w:cs="宋体"/>
          <w:sz w:val="28"/>
          <w:szCs w:val="28"/>
        </w:rPr>
        <w:t>维护政府采购制度</w:t>
      </w:r>
      <w:r>
        <w:rPr>
          <w:rFonts w:hint="eastAsia" w:ascii="方正仿宋_GBK" w:hAnsi="宋体" w:eastAsia="方正仿宋_GBK" w:cs="宋体"/>
          <w:sz w:val="28"/>
          <w:szCs w:val="28"/>
        </w:rPr>
        <w:t>，</w:t>
      </w:r>
      <w:r>
        <w:rPr>
          <w:rFonts w:ascii="方正仿宋_GBK" w:hAnsi="宋体" w:eastAsia="方正仿宋_GBK" w:cs="宋体"/>
          <w:sz w:val="28"/>
          <w:szCs w:val="28"/>
        </w:rPr>
        <w:t>净化政府采购市场环境</w:t>
      </w:r>
      <w:r>
        <w:rPr>
          <w:rFonts w:hint="eastAsia" w:ascii="方正仿宋_GBK" w:hAnsi="宋体" w:eastAsia="方正仿宋_GBK" w:cs="宋体"/>
          <w:sz w:val="28"/>
          <w:szCs w:val="28"/>
        </w:rPr>
        <w:t>。</w:t>
      </w:r>
      <w:r>
        <w:rPr>
          <w:rFonts w:ascii="方正仿宋_GBK" w:hAnsi="宋体" w:eastAsia="方正仿宋_GBK" w:cs="宋体"/>
          <w:sz w:val="28"/>
          <w:szCs w:val="28"/>
        </w:rPr>
        <w:t>四川振嘉工程招标代理有限公司在代理政府采购招标事务过程中郑重承诺</w:t>
      </w:r>
      <w:r>
        <w:rPr>
          <w:rFonts w:hint="eastAsia" w:ascii="方正仿宋_GBK" w:hAnsi="宋体" w:eastAsia="方正仿宋_GBK" w:cs="宋体"/>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宋体" w:eastAsia="方正仿宋_GBK" w:cs="宋体"/>
          <w:sz w:val="28"/>
          <w:szCs w:val="28"/>
        </w:rPr>
      </w:pPr>
      <w:r>
        <w:rPr>
          <w:rFonts w:hint="eastAsia" w:ascii="方正仿宋_GBK" w:hAnsi="宋体" w:eastAsia="方正仿宋_GBK" w:cs="宋体"/>
          <w:sz w:val="28"/>
          <w:szCs w:val="28"/>
        </w:rPr>
        <w:t>坚持公开、公平、公正原则，严格按照法律法规和委托代理协议的约定办理政府采购事宜。恪守职业道德、规范代理行为，努力提高专业能力，确保服务质量；诚实守信、勤勉尽责，维护国家利益，社会公共利益和政府采购相关当事人的合法权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宋体" w:eastAsia="方正仿宋_GBK" w:cs="宋体"/>
          <w:sz w:val="28"/>
          <w:szCs w:val="28"/>
        </w:rPr>
      </w:pPr>
      <w:r>
        <w:rPr>
          <w:rFonts w:hint="eastAsia" w:ascii="方正仿宋_GBK" w:hAnsi="宋体" w:eastAsia="方正仿宋_GBK" w:cs="宋体"/>
          <w:sz w:val="28"/>
          <w:szCs w:val="28"/>
        </w:rPr>
        <w:t>公司员工遵纪守法，不得以不正当手段争取、承揽政府代理采购事务和向任何单位和个人支付现金、实物或其他利益的行为。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宋体" w:eastAsia="方正仿宋_GBK" w:cs="宋体"/>
          <w:sz w:val="28"/>
          <w:szCs w:val="28"/>
        </w:rPr>
      </w:pPr>
      <w:r>
        <w:rPr>
          <w:rFonts w:hint="eastAsia" w:ascii="方正仿宋_GBK" w:hAnsi="宋体" w:eastAsia="方正仿宋_GBK" w:cs="宋体"/>
          <w:sz w:val="28"/>
          <w:szCs w:val="28"/>
        </w:rPr>
        <w:t>公司员工自觉抵制商业贿赂，不得接受供应商的礼金、有价证券和贵重物品，不得在供应商处报销任何应由个人支付的费用，不得以任何形式向供应商索要或收受回扣或变相收受贿赂，不得参加可能对公正执行采购公正有影响的宴请或娱乐活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宋体" w:eastAsia="方正仿宋_GBK" w:cs="宋体"/>
          <w:sz w:val="28"/>
          <w:szCs w:val="28"/>
        </w:rPr>
      </w:pPr>
      <w:r>
        <w:rPr>
          <w:rFonts w:hint="eastAsia" w:ascii="方正仿宋_GBK" w:hAnsi="宋体" w:eastAsia="方正仿宋_GBK" w:cs="宋体"/>
          <w:sz w:val="28"/>
          <w:szCs w:val="28"/>
        </w:rPr>
        <w:t>公司员工不得参与供应商存在任何商业上的利害关系，不得在供应商单位兼职或任职，不得泄露政府采购过程中的机密。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宋体" w:eastAsia="方正仿宋_GBK" w:cs="宋体"/>
          <w:sz w:val="28"/>
          <w:szCs w:val="28"/>
        </w:rPr>
      </w:pPr>
      <w:r>
        <w:rPr>
          <w:rFonts w:hint="eastAsia" w:ascii="方正仿宋_GBK" w:hAnsi="宋体" w:eastAsia="方正仿宋_GBK" w:cs="宋体"/>
          <w:sz w:val="28"/>
          <w:szCs w:val="28"/>
        </w:rPr>
        <w:t>公司员工在业务交往中，不得故意刁难供应商，影响正常的业务开展。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宋体" w:eastAsia="方正仿宋_GBK" w:cs="宋体"/>
          <w:sz w:val="28"/>
          <w:szCs w:val="28"/>
        </w:rPr>
      </w:pPr>
      <w:r>
        <w:rPr>
          <w:rFonts w:ascii="方正仿宋_GBK" w:hAnsi="宋体" w:eastAsia="方正仿宋_GBK" w:cs="宋体"/>
          <w:sz w:val="28"/>
          <w:szCs w:val="28"/>
        </w:rPr>
        <w:t>公司全体员工接受来自社会各界的监督</w:t>
      </w:r>
      <w:r>
        <w:rPr>
          <w:rFonts w:hint="eastAsia" w:ascii="方正仿宋_GBK" w:hAnsi="宋体" w:eastAsia="方正仿宋_GBK" w:cs="宋体"/>
          <w:sz w:val="28"/>
          <w:szCs w:val="28"/>
        </w:rPr>
        <w:t>、</w:t>
      </w:r>
      <w:r>
        <w:rPr>
          <w:rFonts w:ascii="方正仿宋_GBK" w:hAnsi="宋体" w:eastAsia="方正仿宋_GBK" w:cs="宋体"/>
          <w:sz w:val="28"/>
          <w:szCs w:val="28"/>
        </w:rPr>
        <w:t>举报</w:t>
      </w:r>
      <w:r>
        <w:rPr>
          <w:rFonts w:hint="eastAsia" w:ascii="方正仿宋_GBK" w:hAnsi="宋体" w:eastAsia="方正仿宋_GBK" w:cs="宋体"/>
          <w:sz w:val="28"/>
          <w:szCs w:val="28"/>
        </w:rPr>
        <w:t>，</w:t>
      </w:r>
      <w:r>
        <w:rPr>
          <w:rFonts w:ascii="方正仿宋_GBK" w:hAnsi="宋体" w:eastAsia="方正仿宋_GBK" w:cs="宋体"/>
          <w:sz w:val="28"/>
          <w:szCs w:val="28"/>
        </w:rPr>
        <w:t>请各位政府采购参与者充分了解自觉践行本准则</w:t>
      </w:r>
      <w:r>
        <w:rPr>
          <w:rFonts w:hint="eastAsia" w:ascii="方正仿宋_GBK" w:hAnsi="宋体" w:eastAsia="方正仿宋_GBK" w:cs="宋体"/>
          <w:sz w:val="28"/>
          <w:szCs w:val="28"/>
        </w:rPr>
        <w:t>，</w:t>
      </w:r>
      <w:r>
        <w:rPr>
          <w:rFonts w:ascii="方正仿宋_GBK" w:hAnsi="宋体" w:eastAsia="方正仿宋_GBK" w:cs="宋体"/>
          <w:sz w:val="28"/>
          <w:szCs w:val="28"/>
        </w:rPr>
        <w:t>共同营造廉洁诚信的政采环境</w:t>
      </w:r>
      <w:r>
        <w:rPr>
          <w:rFonts w:hint="eastAsia" w:ascii="方正仿宋_GBK" w:hAnsi="宋体" w:eastAsia="方正仿宋_GBK" w:cs="宋体"/>
          <w:sz w:val="28"/>
          <w:szCs w:val="28"/>
        </w:rPr>
        <w:t>，</w:t>
      </w:r>
      <w:r>
        <w:rPr>
          <w:rFonts w:ascii="方正仿宋_GBK" w:hAnsi="宋体" w:eastAsia="方正仿宋_GBK" w:cs="宋体"/>
          <w:sz w:val="28"/>
          <w:szCs w:val="28"/>
        </w:rPr>
        <w:t>共同推动阳光透明的政府采购</w:t>
      </w:r>
      <w:r>
        <w:rPr>
          <w:rFonts w:hint="eastAsia" w:ascii="方正仿宋_GBK" w:hAnsi="宋体" w:eastAsia="方正仿宋_GBK" w:cs="宋体"/>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方正仿宋_GBK" w:hAnsi="宋体" w:eastAsia="方正仿宋_GBK" w:cs="宋体"/>
          <w:sz w:val="28"/>
          <w:szCs w:val="28"/>
        </w:rPr>
      </w:pPr>
      <w:r>
        <w:rPr>
          <w:rFonts w:hint="eastAsia" w:ascii="方正仿宋_GBK" w:hAnsi="宋体" w:eastAsia="方正仿宋_GBK" w:cs="宋体"/>
          <w:sz w:val="28"/>
          <w:szCs w:val="28"/>
        </w:rPr>
        <w:t>举报电话：0827-8668888      举报邮箱：3480200800@qq.com</w:t>
      </w:r>
    </w:p>
    <w:p>
      <w:pPr>
        <w:widowControl/>
        <w:jc w:val="center"/>
        <w:rPr>
          <w:rFonts w:hint="eastAsia" w:ascii="方正仿宋_GBK" w:hAnsi="方正仿宋_GBK" w:eastAsia="方正仿宋_GBK" w:cs="方正仿宋_GBK"/>
          <w:b w:val="0"/>
          <w:sz w:val="24"/>
        </w:rPr>
        <w:sectPr>
          <w:pgSz w:w="11906" w:h="16838"/>
          <w:pgMar w:top="1440" w:right="1800" w:bottom="1440" w:left="1800" w:header="851" w:footer="992" w:gutter="0"/>
          <w:cols w:space="425" w:num="1"/>
          <w:docGrid w:type="lines" w:linePitch="312" w:charSpace="0"/>
        </w:sectPr>
      </w:pPr>
    </w:p>
    <w:sdt>
      <w:sdtPr>
        <w:rPr>
          <w:rFonts w:hint="eastAsia" w:ascii="方正仿宋_GBK" w:hAnsi="方正仿宋_GBK" w:eastAsia="方正仿宋_GBK" w:cs="方正仿宋_GBK"/>
          <w:b/>
          <w:bCs/>
          <w:kern w:val="2"/>
          <w:sz w:val="28"/>
          <w:szCs w:val="28"/>
          <w:lang w:val="en-US" w:eastAsia="zh-CN" w:bidi="ar-SA"/>
        </w:rPr>
        <w:id w:val="147466242"/>
        <w15:color w:val="DBDBDB"/>
        <w:docPartObj>
          <w:docPartGallery w:val="Table of Contents"/>
          <w:docPartUnique/>
        </w:docPartObj>
      </w:sdtPr>
      <w:sdtContent>
        <w:p>
          <w:pPr>
            <w:spacing w:before="0" w:beforeLines="0" w:after="0" w:afterLines="0" w:line="240" w:lineRule="auto"/>
            <w:ind w:left="0" w:leftChars="0" w:right="0" w:rightChars="0" w:firstLine="0" w:firstLineChars="0"/>
            <w:jc w:val="cente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目录</w:t>
          </w:r>
        </w:p>
        <w:p>
          <w:pPr>
            <w:pStyle w:val="28"/>
            <w:tabs>
              <w:tab w:val="right" w:leader="dot" w:pos="8306"/>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TOC \o "1-1" \h \u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_Toc16012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bCs/>
              <w:sz w:val="28"/>
              <w:szCs w:val="28"/>
            </w:rPr>
            <w:t>第一章 磋商邀请</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_Toc16012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4</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8"/>
            <w:tabs>
              <w:tab w:val="right" w:leader="dot" w:pos="8306"/>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_Toc4889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第二章 磋商须知</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_Toc4889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8</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8"/>
            <w:tabs>
              <w:tab w:val="right" w:leader="dot" w:pos="8306"/>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_Toc6871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bCs/>
              <w:sz w:val="28"/>
              <w:szCs w:val="28"/>
            </w:rPr>
            <w:t>第三章 资格条件要求以及应当提供的资格证明材料</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_Toc6871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30</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8"/>
            <w:tabs>
              <w:tab w:val="right" w:leader="dot" w:pos="8306"/>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_Toc6239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bCs/>
              <w:sz w:val="28"/>
              <w:szCs w:val="28"/>
            </w:rPr>
            <w:t xml:space="preserve">第四章 </w:t>
          </w:r>
          <w:r>
            <w:rPr>
              <w:rFonts w:hint="eastAsia" w:ascii="方正仿宋_GBK" w:hAnsi="方正仿宋_GBK" w:eastAsia="方正仿宋_GBK" w:cs="方正仿宋_GBK"/>
              <w:sz w:val="28"/>
              <w:szCs w:val="28"/>
            </w:rPr>
            <w:t>采购需求及其技术、服务及其他</w:t>
          </w:r>
          <w:r>
            <w:rPr>
              <w:rFonts w:hint="eastAsia" w:ascii="方正仿宋_GBK" w:hAnsi="方正仿宋_GBK" w:eastAsia="方正仿宋_GBK" w:cs="方正仿宋_GBK"/>
              <w:sz w:val="28"/>
              <w:szCs w:val="28"/>
              <w:lang w:eastAsia="zh-CN"/>
            </w:rPr>
            <w:t>商务</w:t>
          </w:r>
          <w:r>
            <w:rPr>
              <w:rFonts w:hint="eastAsia" w:ascii="方正仿宋_GBK" w:hAnsi="方正仿宋_GBK" w:eastAsia="方正仿宋_GBK" w:cs="方正仿宋_GBK"/>
              <w:sz w:val="28"/>
              <w:szCs w:val="28"/>
            </w:rPr>
            <w:t>要求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_Toc6239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8"/>
            <w:tabs>
              <w:tab w:val="right" w:leader="dot" w:pos="8306"/>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_Toc12976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bCs/>
              <w:sz w:val="28"/>
              <w:szCs w:val="28"/>
            </w:rPr>
            <w:t>第五章 供应商响应文件相关文书格式</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_Toc12976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38</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8"/>
            <w:tabs>
              <w:tab w:val="right" w:leader="dot" w:pos="8306"/>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_Toc30578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bCs/>
              <w:sz w:val="28"/>
              <w:szCs w:val="28"/>
            </w:rPr>
            <w:t xml:space="preserve">第六章 </w:t>
          </w:r>
          <w:bookmarkStart w:id="434" w:name="_GoBack"/>
          <w:bookmarkEnd w:id="434"/>
          <w:r>
            <w:rPr>
              <w:rFonts w:hint="eastAsia" w:ascii="方正仿宋_GBK" w:hAnsi="方正仿宋_GBK" w:eastAsia="方正仿宋_GBK" w:cs="方正仿宋_GBK"/>
              <w:bCs/>
              <w:sz w:val="28"/>
              <w:szCs w:val="28"/>
            </w:rPr>
            <w:t>磋商程序和成交标准</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_Toc30578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48</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8"/>
            <w:tabs>
              <w:tab w:val="right" w:leader="dot" w:pos="8306"/>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_Toc18616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bCs/>
              <w:sz w:val="28"/>
              <w:szCs w:val="28"/>
            </w:rPr>
            <w:t>第七章 合同草案条款</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_Toc18616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61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r>
            <w:rPr>
              <w:rFonts w:hint="eastAsia" w:ascii="方正仿宋_GBK" w:hAnsi="方正仿宋_GBK" w:eastAsia="方正仿宋_GBK" w:cs="方正仿宋_GBK"/>
              <w:sz w:val="28"/>
              <w:szCs w:val="28"/>
            </w:rPr>
            <w:fldChar w:fldCharType="end"/>
          </w:r>
        </w:p>
      </w:sdtContent>
    </w:sdt>
    <w:p>
      <w:pPr>
        <w:rPr>
          <w:rFonts w:hint="eastAsia" w:ascii="方正仿宋_GBK" w:hAnsi="方正仿宋_GBK" w:eastAsia="仿宋" w:cs="方正仿宋_GBK"/>
          <w:b w:val="0"/>
          <w:color w:val="000000"/>
          <w:sz w:val="24"/>
          <w:szCs w:val="21"/>
        </w:rPr>
      </w:pPr>
      <w:r>
        <w:rPr>
          <w:rFonts w:hint="eastAsia" w:ascii="方正仿宋_GBK" w:hAnsi="方正仿宋_GBK" w:eastAsia="仿宋" w:cs="方正仿宋_GBK"/>
          <w:b w:val="0"/>
          <w:color w:val="000000"/>
          <w:sz w:val="24"/>
          <w:szCs w:val="21"/>
        </w:rPr>
        <w:br w:type="page"/>
      </w:r>
      <w:bookmarkEnd w:id="4"/>
    </w:p>
    <w:p>
      <w:pPr>
        <w:pStyle w:val="2"/>
        <w:numPr>
          <w:ilvl w:val="0"/>
          <w:numId w:val="1"/>
        </w:numPr>
        <w:spacing w:before="0" w:after="0" w:line="500" w:lineRule="exact"/>
        <w:jc w:val="center"/>
        <w:rPr>
          <w:rFonts w:hint="eastAsia" w:ascii="方正仿宋_GBK" w:hAnsi="方正仿宋_GBK" w:eastAsia="方正仿宋_GBK" w:cs="方正仿宋_GBK"/>
          <w:bCs/>
          <w:color w:val="000000"/>
          <w:sz w:val="36"/>
          <w:szCs w:val="36"/>
        </w:rPr>
      </w:pPr>
      <w:bookmarkStart w:id="5" w:name="_Toc471310326"/>
      <w:bookmarkStart w:id="6" w:name="_Toc22684"/>
      <w:bookmarkStart w:id="7" w:name="_Toc63765766"/>
      <w:bookmarkStart w:id="8" w:name="_Toc10739"/>
      <w:bookmarkStart w:id="9" w:name="_Toc3010"/>
      <w:bookmarkStart w:id="10" w:name="_Toc16012"/>
      <w:r>
        <w:rPr>
          <w:rFonts w:hint="eastAsia" w:ascii="方正仿宋_GBK" w:hAnsi="方正仿宋_GBK" w:eastAsia="方正仿宋_GBK" w:cs="方正仿宋_GBK"/>
          <w:bCs/>
          <w:color w:val="000000"/>
          <w:sz w:val="36"/>
          <w:szCs w:val="36"/>
        </w:rPr>
        <w:t>磋商邀请</w:t>
      </w:r>
      <w:bookmarkEnd w:id="5"/>
      <w:bookmarkEnd w:id="6"/>
      <w:bookmarkEnd w:id="7"/>
      <w:bookmarkEnd w:id="8"/>
      <w:bookmarkEnd w:id="9"/>
      <w:bookmarkEnd w:id="10"/>
    </w:p>
    <w:p>
      <w:pPr>
        <w:spacing w:line="500" w:lineRule="exact"/>
        <w:jc w:val="center"/>
        <w:rPr>
          <w:rFonts w:hint="eastAsia" w:ascii="方正仿宋_GBK" w:hAnsi="方正仿宋_GBK" w:eastAsia="方正仿宋_GBK" w:cs="方正仿宋_GBK"/>
        </w:rPr>
      </w:pPr>
    </w:p>
    <w:p>
      <w:pPr>
        <w:spacing w:line="500" w:lineRule="exact"/>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各受邀供应商：</w:t>
      </w:r>
    </w:p>
    <w:p>
      <w:pPr>
        <w:spacing w:line="500" w:lineRule="exact"/>
        <w:ind w:firstLine="700" w:firstLineChars="250"/>
        <w:jc w:val="left"/>
        <w:rPr>
          <w:rFonts w:hint="eastAsia" w:ascii="方正仿宋_GBK" w:hAnsi="方正仿宋_GBK" w:eastAsia="方正仿宋_GBK" w:cs="方正仿宋_GBK"/>
          <w:kern w:val="0"/>
          <w:sz w:val="28"/>
          <w:szCs w:val="28"/>
        </w:rPr>
      </w:pPr>
      <w:bookmarkStart w:id="11" w:name="【Bobole_代理机构名称_1】"/>
      <w:r>
        <w:rPr>
          <w:rFonts w:hint="eastAsia" w:ascii="方正仿宋_GBK" w:hAnsi="方正仿宋_GBK" w:eastAsia="方正仿宋_GBK" w:cs="方正仿宋_GBK"/>
          <w:kern w:val="0"/>
          <w:sz w:val="28"/>
          <w:szCs w:val="28"/>
        </w:rPr>
        <w:t>四川振嘉工程招标代理有限公司</w:t>
      </w:r>
      <w:bookmarkEnd w:id="11"/>
      <w:r>
        <w:rPr>
          <w:rFonts w:hint="eastAsia" w:ascii="方正仿宋_GBK" w:hAnsi="方正仿宋_GBK" w:eastAsia="方正仿宋_GBK" w:cs="方正仿宋_GBK"/>
          <w:kern w:val="0"/>
          <w:sz w:val="28"/>
          <w:szCs w:val="28"/>
        </w:rPr>
        <w:t>受</w:t>
      </w:r>
      <w:bookmarkStart w:id="12" w:name="【Bobole_采购单位名称】"/>
      <w:r>
        <w:rPr>
          <w:rFonts w:hint="eastAsia" w:ascii="方正仿宋_GBK" w:hAnsi="方正仿宋_GBK" w:eastAsia="方正仿宋_GBK" w:cs="方正仿宋_GBK"/>
          <w:kern w:val="0"/>
          <w:sz w:val="28"/>
          <w:szCs w:val="28"/>
        </w:rPr>
        <w:t>四川巴中经济开发区管理委员会</w:t>
      </w:r>
      <w:bookmarkEnd w:id="12"/>
      <w:r>
        <w:rPr>
          <w:rFonts w:hint="eastAsia" w:ascii="方正仿宋_GBK" w:hAnsi="方正仿宋_GBK" w:eastAsia="方正仿宋_GBK" w:cs="方正仿宋_GBK"/>
          <w:kern w:val="0"/>
          <w:sz w:val="28"/>
          <w:szCs w:val="28"/>
        </w:rPr>
        <w:t>委托，拟对</w:t>
      </w:r>
      <w:r>
        <w:rPr>
          <w:rFonts w:hint="eastAsia" w:ascii="方正仿宋_GBK" w:hAnsi="方正仿宋_GBK" w:eastAsia="方正仿宋_GBK" w:cs="方正仿宋_GBK"/>
          <w:kern w:val="0"/>
          <w:sz w:val="28"/>
          <w:szCs w:val="28"/>
          <w:u w:val="single"/>
        </w:rPr>
        <w:t>“</w:t>
      </w:r>
      <w:bookmarkStart w:id="13" w:name="【Bobole_项目名称_1】"/>
      <w:r>
        <w:rPr>
          <w:rFonts w:hint="eastAsia" w:ascii="方正仿宋_GBK" w:hAnsi="方正仿宋_GBK" w:eastAsia="方正仿宋_GBK" w:cs="方正仿宋_GBK"/>
          <w:kern w:val="0"/>
          <w:sz w:val="28"/>
          <w:szCs w:val="28"/>
          <w:u w:val="single"/>
        </w:rPr>
        <w:t>创文第三方指导咨询服务(第三次)</w:t>
      </w:r>
      <w:bookmarkEnd w:id="13"/>
      <w:r>
        <w:rPr>
          <w:rFonts w:hint="eastAsia" w:ascii="方正仿宋_GBK" w:hAnsi="方正仿宋_GBK" w:eastAsia="方正仿宋_GBK" w:cs="方正仿宋_GBK"/>
          <w:kern w:val="0"/>
          <w:sz w:val="28"/>
          <w:szCs w:val="28"/>
          <w:u w:val="single"/>
        </w:rPr>
        <w:t>”</w:t>
      </w:r>
      <w:r>
        <w:rPr>
          <w:rFonts w:hint="eastAsia" w:ascii="方正仿宋_GBK" w:hAnsi="方正仿宋_GBK" w:eastAsia="方正仿宋_GBK" w:cs="方正仿宋_GBK"/>
          <w:kern w:val="0"/>
          <w:sz w:val="28"/>
          <w:szCs w:val="28"/>
        </w:rPr>
        <w:t>项目进行竞争性磋商采购，兹邀请符合本次磋商要求的供应商参加磋商。</w:t>
      </w:r>
    </w:p>
    <w:p>
      <w:pPr>
        <w:spacing w:before="120" w:after="120" w:line="500" w:lineRule="exact"/>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一、采购项目编号</w:t>
      </w:r>
    </w:p>
    <w:p>
      <w:pPr>
        <w:spacing w:before="120" w:after="120" w:line="500" w:lineRule="exact"/>
        <w:ind w:left="280" w:firstLine="560" w:firstLineChars="200"/>
        <w:rPr>
          <w:rFonts w:hint="eastAsia" w:ascii="方正仿宋_GBK" w:hAnsi="方正仿宋_GBK" w:eastAsia="方正仿宋_GBK" w:cs="方正仿宋_GBK"/>
          <w:kern w:val="0"/>
          <w:sz w:val="28"/>
          <w:szCs w:val="28"/>
        </w:rPr>
      </w:pPr>
      <w:bookmarkStart w:id="14" w:name="【Bobole_项目编号】"/>
      <w:r>
        <w:rPr>
          <w:rFonts w:hint="eastAsia" w:ascii="方正仿宋_GBK" w:hAnsi="方正仿宋_GBK" w:eastAsia="方正仿宋_GBK" w:cs="方正仿宋_GBK"/>
          <w:kern w:val="0"/>
          <w:sz w:val="28"/>
          <w:szCs w:val="28"/>
        </w:rPr>
        <w:t>511901202100149</w:t>
      </w:r>
      <w:bookmarkEnd w:id="14"/>
    </w:p>
    <w:p>
      <w:pPr>
        <w:spacing w:before="120" w:after="120" w:line="500" w:lineRule="exact"/>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二、采购项目名称</w:t>
      </w:r>
    </w:p>
    <w:p>
      <w:pPr>
        <w:widowControl/>
        <w:spacing w:line="500" w:lineRule="exact"/>
        <w:ind w:left="368" w:firstLine="548" w:firstLineChars="196"/>
        <w:rPr>
          <w:rFonts w:hint="eastAsia" w:ascii="方正仿宋_GBK" w:hAnsi="方正仿宋_GBK" w:eastAsia="方正仿宋_GBK" w:cs="方正仿宋_GBK"/>
          <w:kern w:val="0"/>
          <w:sz w:val="28"/>
          <w:szCs w:val="28"/>
        </w:rPr>
      </w:pPr>
      <w:bookmarkStart w:id="15" w:name="【Bobole_项目名称_2】"/>
      <w:r>
        <w:rPr>
          <w:rFonts w:hint="eastAsia" w:ascii="方正仿宋_GBK" w:hAnsi="方正仿宋_GBK" w:eastAsia="方正仿宋_GBK" w:cs="方正仿宋_GBK"/>
          <w:kern w:val="0"/>
          <w:sz w:val="28"/>
          <w:szCs w:val="28"/>
        </w:rPr>
        <w:t>创文第三方指导咨询服务(第三次)</w:t>
      </w:r>
      <w:bookmarkEnd w:id="15"/>
    </w:p>
    <w:p>
      <w:pPr>
        <w:spacing w:before="120" w:after="120" w:line="500" w:lineRule="exact"/>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三、磋商项目简介</w:t>
      </w:r>
    </w:p>
    <w:p>
      <w:pPr>
        <w:spacing w:before="120" w:after="120" w:line="500" w:lineRule="exact"/>
        <w:ind w:firstLine="840" w:firstLineChars="30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有关本项目的采购详情见采购文件第四章。</w:t>
      </w:r>
    </w:p>
    <w:p>
      <w:pPr>
        <w:spacing w:before="120" w:after="120" w:line="500" w:lineRule="exact"/>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四、供应商参加本次政府采购活动应具备下列条件</w:t>
      </w:r>
    </w:p>
    <w:p>
      <w:pPr>
        <w:spacing w:line="520" w:lineRule="exact"/>
        <w:ind w:firstLine="840" w:firstLineChars="300"/>
        <w:rPr>
          <w:rFonts w:hint="eastAsia" w:ascii="方正仿宋_GBK" w:hAnsi="方正仿宋_GBK" w:eastAsia="方正仿宋_GBK" w:cs="方正仿宋_GBK"/>
          <w:sz w:val="28"/>
          <w:szCs w:val="28"/>
        </w:rPr>
      </w:pPr>
      <w:bookmarkStart w:id="16" w:name="_Hlk533582570"/>
      <w:r>
        <w:rPr>
          <w:rFonts w:hint="eastAsia" w:ascii="方正仿宋_GBK" w:hAnsi="方正仿宋_GBK" w:eastAsia="方正仿宋_GBK" w:cs="方正仿宋_GBK"/>
          <w:sz w:val="28"/>
          <w:szCs w:val="28"/>
        </w:rPr>
        <w:t>（一）具有独立承担民事责任的能力；</w:t>
      </w:r>
    </w:p>
    <w:p>
      <w:pPr>
        <w:spacing w:line="520" w:lineRule="exact"/>
        <w:ind w:firstLine="840" w:firstLineChars="3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（二）具有良好的商业信誉和健全的财务会计制度；</w:t>
      </w:r>
    </w:p>
    <w:p>
      <w:pPr>
        <w:spacing w:line="520" w:lineRule="exact"/>
        <w:ind w:firstLine="840" w:firstLineChars="3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（三）具有履行合同所必需的设备和专业技术能力；</w:t>
      </w:r>
    </w:p>
    <w:p>
      <w:pPr>
        <w:spacing w:line="520" w:lineRule="exact"/>
        <w:ind w:firstLine="840" w:firstLineChars="3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（四）有依法缴纳税收和社会保障资金的良好记录；</w:t>
      </w:r>
    </w:p>
    <w:p>
      <w:pPr>
        <w:spacing w:line="520" w:lineRule="exact"/>
        <w:ind w:firstLine="840" w:firstLineChars="3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（五）参加本次政府采购活动前三年内，在经营活动中没有重大违法记录；</w:t>
      </w:r>
    </w:p>
    <w:p>
      <w:pPr>
        <w:tabs>
          <w:tab w:val="left" w:pos="6255"/>
        </w:tabs>
        <w:spacing w:line="520" w:lineRule="exact"/>
        <w:ind w:firstLine="840" w:firstLineChars="3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（六）法律、行政法规规定的其他条件；</w:t>
      </w:r>
    </w:p>
    <w:p>
      <w:pPr>
        <w:tabs>
          <w:tab w:val="left" w:pos="6255"/>
        </w:tabs>
        <w:spacing w:line="520" w:lineRule="exact"/>
        <w:ind w:firstLine="840" w:firstLineChars="3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（七）落实政府采购政策需满足的资格要求:</w:t>
      </w:r>
    </w:p>
    <w:p>
      <w:pPr>
        <w:spacing w:after="120" w:line="360" w:lineRule="auto"/>
        <w:ind w:firstLine="1047" w:firstLineChars="374"/>
        <w:rPr>
          <w:rFonts w:hint="eastAsia" w:ascii="方正仿宋_GBK" w:hAnsi="方正仿宋_GBK" w:eastAsia="方正仿宋_GBK" w:cs="方正仿宋_GBK"/>
          <w:sz w:val="28"/>
          <w:szCs w:val="28"/>
          <w:lang w:bidi="ar"/>
        </w:rPr>
      </w:pPr>
      <w:bookmarkStart w:id="17" w:name="【Bobole_资格要求_120】"/>
      <w:r>
        <w:rPr>
          <w:rFonts w:hint="eastAsia" w:ascii="方正仿宋_GBK" w:hAnsi="方正仿宋_GBK" w:eastAsia="方正仿宋_GBK" w:cs="方正仿宋_GBK"/>
          <w:sz w:val="28"/>
          <w:szCs w:val="28"/>
          <w:lang w:bidi="ar"/>
        </w:rPr>
        <w:t>属于专门面向中小企业采购的项目,供应商应为中小微企业、监狱企业、残疾人福利性单位;</w:t>
      </w:r>
      <w:bookmarkEnd w:id="17"/>
    </w:p>
    <w:p>
      <w:pPr>
        <w:tabs>
          <w:tab w:val="left" w:pos="6255"/>
        </w:tabs>
        <w:spacing w:line="520" w:lineRule="exact"/>
        <w:ind w:firstLine="840" w:firstLineChars="300"/>
        <w:rPr>
          <w:rFonts w:hint="eastAsia" w:ascii="方正仿宋_GBK" w:hAnsi="方正仿宋_GBK" w:eastAsia="方正仿宋_GBK" w:cs="方正仿宋_GBK"/>
          <w:sz w:val="24"/>
          <w:lang w:bidi="ar"/>
        </w:rPr>
      </w:pPr>
      <w:r>
        <w:rPr>
          <w:rFonts w:hint="eastAsia" w:ascii="方正仿宋_GBK" w:hAnsi="方正仿宋_GBK" w:eastAsia="方正仿宋_GBK" w:cs="方正仿宋_GBK"/>
          <w:sz w:val="28"/>
          <w:szCs w:val="28"/>
        </w:rPr>
        <w:t>（八）采购项目的特殊要求 :</w:t>
      </w:r>
    </w:p>
    <w:p>
      <w:pPr>
        <w:spacing w:after="120" w:line="360" w:lineRule="auto"/>
        <w:ind w:firstLine="1047" w:firstLineChars="374"/>
        <w:rPr>
          <w:rFonts w:hint="eastAsia" w:ascii="方正仿宋_GBK" w:hAnsi="方正仿宋_GBK" w:eastAsia="方正仿宋_GBK" w:cs="方正仿宋_GBK"/>
          <w:sz w:val="28"/>
          <w:szCs w:val="28"/>
          <w:lang w:bidi="ar"/>
        </w:rPr>
      </w:pPr>
      <w:bookmarkStart w:id="18" w:name="【Bobole_资格要求_130】"/>
      <w:r>
        <w:rPr>
          <w:rFonts w:hint="eastAsia" w:ascii="方正仿宋_GBK" w:hAnsi="方正仿宋_GBK" w:eastAsia="方正仿宋_GBK" w:cs="方正仿宋_GBK"/>
          <w:sz w:val="28"/>
          <w:szCs w:val="28"/>
          <w:lang w:bidi="ar"/>
        </w:rPr>
        <w:t>无</w:t>
      </w:r>
      <w:bookmarkEnd w:id="18"/>
    </w:p>
    <w:bookmarkEnd w:id="16"/>
    <w:p>
      <w:pPr>
        <w:numPr>
          <w:ilvl w:val="0"/>
          <w:numId w:val="2"/>
        </w:numPr>
        <w:spacing w:before="120" w:after="120" w:line="500" w:lineRule="exact"/>
        <w:ind w:firstLine="562" w:firstLineChars="20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本项目不接受供应商组成联合体参加政府采购活动。</w:t>
      </w:r>
    </w:p>
    <w:p>
      <w:pPr>
        <w:pageBreakBefore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方正仿宋_GBK" w:hAnsi="方正仿宋_GBK" w:eastAsia="方正仿宋_GBK" w:cs="方正仿宋_GBK"/>
          <w:b/>
          <w:bCs/>
          <w:sz w:val="28"/>
          <w:szCs w:val="28"/>
          <w:lang w:eastAsia="zh-CN"/>
        </w:rPr>
      </w:pPr>
      <w:r>
        <w:rPr>
          <w:rFonts w:hint="eastAsia" w:ascii="方正仿宋_GBK" w:hAnsi="方正仿宋_GBK" w:eastAsia="方正仿宋_GBK" w:cs="方正仿宋_GBK"/>
          <w:b/>
          <w:bCs/>
          <w:sz w:val="28"/>
          <w:szCs w:val="28"/>
          <w:lang w:eastAsia="zh-CN"/>
        </w:rPr>
        <w:t>六、严禁参加本次采购活动的供应商</w:t>
      </w:r>
      <w:bookmarkStart w:id="19" w:name="PO_默认文件内容_4"/>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一）根据《关于在政府采购活动中查询及使用信用记录有关问题的通知》（财库〔2016〕125号）的要求，采购人/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bookmarkEnd w:id="19"/>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（二）</w:t>
      </w:r>
      <w:r>
        <w:rPr>
          <w:rFonts w:hint="eastAsia" w:ascii="方正仿宋_GBK" w:hAnsi="方正仿宋_GBK" w:eastAsia="方正仿宋_GBK" w:cs="方正仿宋_GBK"/>
          <w:sz w:val="28"/>
          <w:szCs w:val="28"/>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spacing w:before="120" w:after="120" w:line="500" w:lineRule="exact"/>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lang w:eastAsia="zh-CN"/>
        </w:rPr>
        <w:t>七</w:t>
      </w:r>
      <w:r>
        <w:rPr>
          <w:rFonts w:hint="eastAsia" w:ascii="方正仿宋_GBK" w:hAnsi="方正仿宋_GBK" w:eastAsia="方正仿宋_GBK" w:cs="方正仿宋_GBK"/>
          <w:b/>
          <w:sz w:val="28"/>
          <w:szCs w:val="28"/>
        </w:rPr>
        <w:t>、磋商文件获取时间和方式</w:t>
      </w:r>
    </w:p>
    <w:p>
      <w:pPr>
        <w:wordWrap w:val="0"/>
        <w:spacing w:line="500" w:lineRule="exact"/>
        <w:ind w:left="839" w:firstLine="42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自</w:t>
      </w:r>
      <w:bookmarkStart w:id="20" w:name="【Bobole_标书购买开始时间】"/>
      <w:r>
        <w:rPr>
          <w:rFonts w:hint="eastAsia" w:ascii="方正仿宋_GBK" w:hAnsi="方正仿宋_GBK" w:eastAsia="方正仿宋_GBK" w:cs="方正仿宋_GBK"/>
          <w:sz w:val="28"/>
          <w:szCs w:val="28"/>
        </w:rPr>
        <w:t>2022年01月14日 09时00分</w:t>
      </w:r>
      <w:bookmarkEnd w:id="20"/>
      <w:r>
        <w:rPr>
          <w:rFonts w:hint="eastAsia" w:ascii="方正仿宋_GBK" w:hAnsi="方正仿宋_GBK" w:eastAsia="方正仿宋_GBK" w:cs="方正仿宋_GBK"/>
          <w:sz w:val="28"/>
          <w:szCs w:val="28"/>
        </w:rPr>
        <w:t>至</w:t>
      </w:r>
      <w:bookmarkStart w:id="21" w:name="【Bobole_标书购买截止时间】"/>
      <w:r>
        <w:rPr>
          <w:rFonts w:hint="eastAsia" w:ascii="方正仿宋_GBK" w:hAnsi="方正仿宋_GBK" w:eastAsia="方正仿宋_GBK" w:cs="方正仿宋_GBK"/>
          <w:sz w:val="28"/>
          <w:szCs w:val="28"/>
        </w:rPr>
        <w:t>2022年01月20日 17时00分</w:t>
      </w:r>
      <w:bookmarkEnd w:id="21"/>
      <w:r>
        <w:rPr>
          <w:rFonts w:hint="eastAsia" w:ascii="方正仿宋_GBK" w:hAnsi="方正仿宋_GBK" w:eastAsia="方正仿宋_GBK" w:cs="方正仿宋_GBK"/>
          <w:sz w:val="28"/>
          <w:szCs w:val="28"/>
        </w:rPr>
        <w:t>（北京时间），登录</w:t>
      </w:r>
      <w:r>
        <w:rPr>
          <w:rFonts w:hint="eastAsia" w:ascii="方正仿宋_GBK" w:hAnsi="方正仿宋_GBK" w:eastAsia="方正仿宋_GBK" w:cs="方正仿宋_GBK"/>
          <w:sz w:val="28"/>
          <w:szCs w:val="28"/>
          <w:lang w:eastAsia="zh-CN"/>
        </w:rPr>
        <w:t>巴中</w:t>
      </w:r>
      <w:r>
        <w:rPr>
          <w:rFonts w:hint="eastAsia" w:ascii="方正仿宋_GBK" w:hAnsi="方正仿宋_GBK" w:eastAsia="方正仿宋_GBK" w:cs="方正仿宋_GBK"/>
          <w:sz w:val="28"/>
          <w:szCs w:val="28"/>
        </w:rPr>
        <w:t>政府采购网(</w:t>
      </w:r>
      <w:r>
        <w:rPr>
          <w:rFonts w:hint="eastAsia" w:ascii="方正仿宋_GBK" w:hAnsi="方正仿宋_GBK" w:eastAsia="方正仿宋_GBK" w:cs="方正仿宋_GBK"/>
          <w:sz w:val="28"/>
          <w:szCs w:val="28"/>
          <w:lang w:eastAsia="zh-CN"/>
        </w:rPr>
        <w:t>http://www.bzzfcgw.cn</w:t>
      </w:r>
      <w:r>
        <w:rPr>
          <w:rFonts w:hint="eastAsia" w:ascii="方正仿宋_GBK" w:hAnsi="方正仿宋_GBK" w:eastAsia="方正仿宋_GBK" w:cs="方正仿宋_GBK"/>
          <w:sz w:val="28"/>
          <w:szCs w:val="28"/>
        </w:rPr>
        <w:t>/)通过</w:t>
      </w:r>
      <w:r>
        <w:rPr>
          <w:rFonts w:hint="eastAsia" w:ascii="方正仿宋_GBK" w:hAnsi="方正仿宋_GBK" w:eastAsia="方正仿宋_GBK" w:cs="方正仿宋_GBK"/>
          <w:sz w:val="28"/>
          <w:szCs w:val="28"/>
          <w:lang w:eastAsia="zh-CN"/>
        </w:rPr>
        <w:t>巴中</w:t>
      </w:r>
      <w:r>
        <w:rPr>
          <w:rFonts w:hint="eastAsia" w:ascii="方正仿宋_GBK" w:hAnsi="方正仿宋_GBK" w:eastAsia="方正仿宋_GBK" w:cs="方正仿宋_GBK"/>
          <w:sz w:val="28"/>
          <w:szCs w:val="28"/>
        </w:rPr>
        <w:t>市电子化政府采购管理系统免费下载获取（电子化采购文件，格式为*.BBL）及其他资料。</w:t>
      </w:r>
    </w:p>
    <w:p>
      <w:pPr>
        <w:spacing w:line="500" w:lineRule="exact"/>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lang w:eastAsia="zh-CN"/>
        </w:rPr>
        <w:t>八</w:t>
      </w:r>
      <w:r>
        <w:rPr>
          <w:rFonts w:hint="eastAsia" w:ascii="方正仿宋_GBK" w:hAnsi="方正仿宋_GBK" w:eastAsia="方正仿宋_GBK" w:cs="方正仿宋_GBK"/>
          <w:b/>
          <w:sz w:val="28"/>
          <w:szCs w:val="28"/>
        </w:rPr>
        <w:t>、提交首次响应文件的截止时间和磋商时间</w:t>
      </w:r>
    </w:p>
    <w:p>
      <w:pPr>
        <w:wordWrap w:val="0"/>
        <w:spacing w:line="440" w:lineRule="exact"/>
        <w:ind w:left="840" w:firstLine="42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提交首次响应文件的截止时间：</w:t>
      </w:r>
      <w:bookmarkStart w:id="22" w:name="【Bobole_标书递交截止时间】"/>
      <w:r>
        <w:rPr>
          <w:rFonts w:hint="eastAsia" w:ascii="方正仿宋_GBK" w:hAnsi="方正仿宋_GBK" w:eastAsia="方正仿宋_GBK" w:cs="方正仿宋_GBK"/>
          <w:kern w:val="0"/>
          <w:sz w:val="28"/>
          <w:szCs w:val="28"/>
        </w:rPr>
        <w:t>2022年01月24日 10时00分</w:t>
      </w:r>
      <w:bookmarkEnd w:id="22"/>
    </w:p>
    <w:p>
      <w:pPr>
        <w:wordWrap w:val="0"/>
        <w:spacing w:line="440" w:lineRule="exact"/>
        <w:ind w:left="840" w:firstLine="42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磋商时间：</w:t>
      </w:r>
      <w:bookmarkStart w:id="23" w:name="【Bobole_开标时间】"/>
      <w:r>
        <w:rPr>
          <w:rFonts w:hint="eastAsia" w:ascii="方正仿宋_GBK" w:hAnsi="方正仿宋_GBK" w:eastAsia="方正仿宋_GBK" w:cs="方正仿宋_GBK"/>
          <w:kern w:val="0"/>
          <w:sz w:val="28"/>
          <w:szCs w:val="28"/>
        </w:rPr>
        <w:t>2022年01月24日 10时00分</w:t>
      </w:r>
      <w:bookmarkEnd w:id="23"/>
    </w:p>
    <w:p>
      <w:pPr>
        <w:spacing w:after="156" w:afterLines="50" w:line="500" w:lineRule="exact"/>
        <w:ind w:left="420" w:firstLine="141" w:firstLineChars="5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lang w:eastAsia="zh-CN"/>
        </w:rPr>
        <w:t>九</w:t>
      </w:r>
      <w:r>
        <w:rPr>
          <w:rFonts w:hint="eastAsia" w:ascii="方正仿宋_GBK" w:hAnsi="方正仿宋_GBK" w:eastAsia="方正仿宋_GBK" w:cs="方正仿宋_GBK"/>
          <w:b/>
          <w:sz w:val="28"/>
          <w:szCs w:val="28"/>
        </w:rPr>
        <w:t>、响应文件提交地点和磋商地点</w:t>
      </w:r>
    </w:p>
    <w:p>
      <w:pPr>
        <w:spacing w:after="156" w:afterLines="50" w:line="440" w:lineRule="exact"/>
        <w:ind w:left="420" w:firstLine="974" w:firstLineChars="348"/>
        <w:rPr>
          <w:rFonts w:hint="eastAsia" w:ascii="方正仿宋_GBK" w:hAnsi="方正仿宋_GBK" w:eastAsia="方正仿宋_GBK" w:cs="方正仿宋_GBK"/>
          <w:sz w:val="28"/>
          <w:szCs w:val="28"/>
        </w:rPr>
      </w:pPr>
      <w:bookmarkStart w:id="24" w:name="【Bobole_招标公告_dljgdz】"/>
      <w:r>
        <w:rPr>
          <w:rFonts w:hint="eastAsia" w:ascii="方正仿宋_GBK" w:hAnsi="方正仿宋_GBK" w:eastAsia="方正仿宋_GBK" w:cs="方正仿宋_GBK"/>
          <w:sz w:val="28"/>
          <w:szCs w:val="28"/>
        </w:rPr>
        <w:t>巴中市江北大道西段凯悦名城9栋12楼（四川振嘉工程招标代理有限公司）</w:t>
      </w:r>
      <w:bookmarkEnd w:id="24"/>
    </w:p>
    <w:p>
      <w:pPr>
        <w:spacing w:after="156" w:afterLines="50" w:line="440" w:lineRule="exact"/>
        <w:ind w:left="420" w:firstLine="974" w:firstLineChars="34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本项目采用现场磋商方式，供应商须派代表持有效证件到开标现场进行磋商，并进入四川振嘉招标代理有限公司评审室进行现场磋商。</w:t>
      </w:r>
    </w:p>
    <w:p>
      <w:pPr>
        <w:spacing w:after="156" w:afterLines="50" w:line="500" w:lineRule="exact"/>
        <w:ind w:left="420" w:firstLine="141" w:firstLineChars="5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lang w:eastAsia="zh-CN"/>
        </w:rPr>
        <w:t>十</w:t>
      </w:r>
      <w:r>
        <w:rPr>
          <w:rFonts w:hint="eastAsia" w:ascii="方正仿宋_GBK" w:hAnsi="方正仿宋_GBK" w:eastAsia="方正仿宋_GBK" w:cs="方正仿宋_GBK"/>
          <w:b/>
          <w:sz w:val="28"/>
          <w:szCs w:val="28"/>
        </w:rPr>
        <w:t>、本次磋商的结果公告在以下指定媒体发布</w:t>
      </w:r>
    </w:p>
    <w:p>
      <w:pPr>
        <w:pStyle w:val="18"/>
        <w:spacing w:line="500" w:lineRule="exact"/>
        <w:ind w:firstLine="562"/>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t xml:space="preserve">  </w:t>
      </w:r>
      <w:r>
        <w:rPr>
          <w:rFonts w:hint="eastAsia" w:ascii="方正仿宋_GBK" w:hAnsi="方正仿宋_GBK" w:eastAsia="方正仿宋_GBK" w:cs="方正仿宋_GBK"/>
          <w:sz w:val="28"/>
          <w:szCs w:val="28"/>
        </w:rPr>
        <w:t xml:space="preserve">   四川政府采购网：http://www.ccgp-sichuan.gov.cn/</w:t>
      </w:r>
    </w:p>
    <w:p>
      <w:pPr>
        <w:spacing w:after="156" w:afterLines="50" w:line="500" w:lineRule="exact"/>
        <w:ind w:left="420" w:firstLine="840" w:firstLineChars="3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巴中</w:t>
      </w:r>
      <w:r>
        <w:rPr>
          <w:rFonts w:hint="eastAsia" w:ascii="方正仿宋_GBK" w:hAnsi="方正仿宋_GBK" w:eastAsia="方正仿宋_GBK" w:cs="方正仿宋_GBK"/>
          <w:sz w:val="28"/>
          <w:szCs w:val="28"/>
        </w:rPr>
        <w:t>政府采购网(</w:t>
      </w:r>
      <w:r>
        <w:rPr>
          <w:rFonts w:hint="eastAsia" w:ascii="方正仿宋_GBK" w:hAnsi="方正仿宋_GBK" w:eastAsia="方正仿宋_GBK" w:cs="方正仿宋_GBK"/>
          <w:sz w:val="28"/>
          <w:szCs w:val="28"/>
          <w:lang w:eastAsia="zh-CN"/>
        </w:rPr>
        <w:t>http://www.bzzfcgw.cn</w:t>
      </w:r>
      <w:r>
        <w:rPr>
          <w:rFonts w:hint="eastAsia" w:ascii="方正仿宋_GBK" w:hAnsi="方正仿宋_GBK" w:eastAsia="方正仿宋_GBK" w:cs="方正仿宋_GBK"/>
          <w:sz w:val="28"/>
          <w:szCs w:val="28"/>
        </w:rPr>
        <w:t>/)</w:t>
      </w:r>
    </w:p>
    <w:p>
      <w:pPr>
        <w:spacing w:after="156" w:afterLines="50" w:line="500" w:lineRule="exact"/>
        <w:ind w:left="420" w:firstLine="141" w:firstLineChars="5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十</w:t>
      </w:r>
      <w:r>
        <w:rPr>
          <w:rFonts w:hint="eastAsia" w:ascii="方正仿宋_GBK" w:hAnsi="方正仿宋_GBK" w:eastAsia="方正仿宋_GBK" w:cs="方正仿宋_GBK"/>
          <w:b/>
          <w:sz w:val="28"/>
          <w:szCs w:val="28"/>
          <w:lang w:eastAsia="zh-CN"/>
        </w:rPr>
        <w:t>一</w:t>
      </w:r>
      <w:r>
        <w:rPr>
          <w:rFonts w:hint="eastAsia" w:ascii="方正仿宋_GBK" w:hAnsi="方正仿宋_GBK" w:eastAsia="方正仿宋_GBK" w:cs="方正仿宋_GBK"/>
          <w:b/>
          <w:sz w:val="28"/>
          <w:szCs w:val="28"/>
        </w:rPr>
        <w:t>、联系方式</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 购 人：</w:t>
      </w:r>
      <w:bookmarkStart w:id="25" w:name="【Bobole_采购单位名称_1】"/>
      <w:r>
        <w:rPr>
          <w:rFonts w:hint="eastAsia" w:ascii="方正仿宋_GBK" w:hAnsi="方正仿宋_GBK" w:eastAsia="方正仿宋_GBK" w:cs="方正仿宋_GBK"/>
          <w:sz w:val="28"/>
          <w:szCs w:val="28"/>
        </w:rPr>
        <w:t>四川巴中经济开发区管理委员会</w:t>
      </w:r>
      <w:bookmarkEnd w:id="25"/>
      <w:r>
        <w:rPr>
          <w:rFonts w:hint="eastAsia" w:ascii="方正仿宋_GBK" w:hAnsi="方正仿宋_GBK" w:eastAsia="方正仿宋_GBK" w:cs="方正仿宋_GBK"/>
          <w:sz w:val="28"/>
          <w:szCs w:val="28"/>
        </w:rPr>
        <w:t xml:space="preserve"> </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地    址：</w:t>
      </w:r>
      <w:bookmarkStart w:id="26" w:name="【Bobole_招标公告_cgrdz】"/>
      <w:r>
        <w:rPr>
          <w:rFonts w:hint="eastAsia" w:ascii="方正仿宋_GBK" w:hAnsi="方正仿宋_GBK" w:eastAsia="方正仿宋_GBK" w:cs="方正仿宋_GBK"/>
          <w:sz w:val="28"/>
          <w:szCs w:val="28"/>
        </w:rPr>
        <w:t>四川巴中经济开发区置信路18号</w:t>
      </w:r>
      <w:bookmarkEnd w:id="26"/>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bookmarkStart w:id="27" w:name="【Bobole_采购单位经办人电话】"/>
      <w:r>
        <w:rPr>
          <w:rFonts w:hint="eastAsia" w:ascii="方正仿宋_GBK" w:hAnsi="方正仿宋_GBK" w:eastAsia="方正仿宋_GBK" w:cs="方正仿宋_GBK"/>
          <w:sz w:val="28"/>
          <w:szCs w:val="28"/>
        </w:rPr>
        <w:t>0827-8651111</w:t>
      </w:r>
      <w:bookmarkEnd w:id="27"/>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采购代理机构：</w:t>
      </w:r>
      <w:bookmarkStart w:id="28" w:name="【Bobole_代理机构名称_2】"/>
      <w:r>
        <w:rPr>
          <w:rFonts w:hint="eastAsia" w:ascii="方正仿宋_GBK" w:hAnsi="方正仿宋_GBK" w:eastAsia="方正仿宋_GBK" w:cs="方正仿宋_GBK"/>
          <w:sz w:val="28"/>
          <w:szCs w:val="28"/>
        </w:rPr>
        <w:t>四川振嘉工程招标代理有限公司</w:t>
      </w:r>
      <w:bookmarkEnd w:id="28"/>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地    址：</w:t>
      </w:r>
      <w:bookmarkStart w:id="29" w:name="【Bobole_招标公告_dljgdz_1】"/>
      <w:r>
        <w:rPr>
          <w:rFonts w:hint="eastAsia" w:ascii="方正仿宋_GBK" w:hAnsi="方正仿宋_GBK" w:eastAsia="方正仿宋_GBK" w:cs="方正仿宋_GBK"/>
          <w:sz w:val="28"/>
          <w:szCs w:val="28"/>
        </w:rPr>
        <w:t>巴中市江北大道西段凯悦名城9栋12楼（四川振嘉工程招标代理有限公司）</w:t>
      </w:r>
      <w:bookmarkEnd w:id="29"/>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bookmarkStart w:id="30" w:name="【Bobole_代理机构电话】"/>
      <w:r>
        <w:rPr>
          <w:rFonts w:hint="eastAsia" w:ascii="方正仿宋_GBK" w:hAnsi="方正仿宋_GBK" w:eastAsia="方正仿宋_GBK" w:cs="方正仿宋_GBK"/>
          <w:sz w:val="28"/>
          <w:szCs w:val="28"/>
        </w:rPr>
        <w:t>0827-8668888</w:t>
      </w:r>
      <w:bookmarkEnd w:id="30"/>
    </w:p>
    <w:p>
      <w:pPr>
        <w:spacing w:line="500" w:lineRule="exact"/>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系统技术支持：028-85186230 转 812、814、816</w:t>
      </w:r>
    </w:p>
    <w:p>
      <w:pPr>
        <w:spacing w:line="500" w:lineRule="exact"/>
        <w:ind w:firstLine="560" w:firstLineChars="200"/>
        <w:jc w:val="right"/>
        <w:rPr>
          <w:rFonts w:hint="eastAsia" w:ascii="方正仿宋_GBK" w:hAnsi="方正仿宋_GBK" w:eastAsia="方正仿宋_GBK" w:cs="方正仿宋_GBK"/>
          <w:sz w:val="28"/>
          <w:szCs w:val="28"/>
        </w:rPr>
      </w:pPr>
    </w:p>
    <w:p>
      <w:pPr>
        <w:spacing w:line="500" w:lineRule="exact"/>
        <w:ind w:firstLine="560" w:firstLineChars="200"/>
        <w:jc w:val="right"/>
        <w:rPr>
          <w:rFonts w:hint="eastAsia" w:ascii="方正仿宋_GBK" w:hAnsi="方正仿宋_GBK" w:eastAsia="方正仿宋_GBK" w:cs="方正仿宋_GBK"/>
          <w:sz w:val="28"/>
          <w:szCs w:val="28"/>
        </w:rPr>
      </w:pPr>
      <w:bookmarkStart w:id="31" w:name="【Bobole_代理机构名称_40】"/>
      <w:r>
        <w:rPr>
          <w:rFonts w:hint="eastAsia" w:ascii="方正仿宋_GBK" w:hAnsi="方正仿宋_GBK" w:eastAsia="方正仿宋_GBK" w:cs="方正仿宋_GBK"/>
          <w:sz w:val="28"/>
          <w:szCs w:val="28"/>
        </w:rPr>
        <w:t>四川振嘉工程招标代理有限公司</w:t>
      </w:r>
      <w:bookmarkEnd w:id="31"/>
    </w:p>
    <w:p>
      <w:pPr>
        <w:spacing w:line="500" w:lineRule="exact"/>
        <w:ind w:firstLine="560" w:firstLineChars="200"/>
        <w:jc w:val="righ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bookmarkStart w:id="32" w:name="【Bobole_当前年月_1】"/>
      <w:r>
        <w:rPr>
          <w:rFonts w:hint="eastAsia" w:ascii="方正仿宋_GBK" w:hAnsi="方正仿宋_GBK" w:eastAsia="方正仿宋_GBK" w:cs="方正仿宋_GBK"/>
          <w:sz w:val="28"/>
          <w:szCs w:val="28"/>
        </w:rPr>
        <w:t>2022年01月</w:t>
      </w:r>
      <w:bookmarkEnd w:id="32"/>
    </w:p>
    <w:p>
      <w:pPr>
        <w:widowControl/>
        <w:jc w:val="left"/>
        <w:rPr>
          <w:rFonts w:hint="eastAsia" w:ascii="方正仿宋_GBK" w:hAnsi="方正仿宋_GBK" w:eastAsia="方正仿宋_GBK" w:cs="方正仿宋_GBK"/>
          <w:b/>
          <w:color w:val="000000"/>
          <w:sz w:val="44"/>
        </w:rPr>
      </w:pPr>
      <w:r>
        <w:rPr>
          <w:rFonts w:hint="eastAsia" w:ascii="方正仿宋_GBK" w:hAnsi="方正仿宋_GBK" w:eastAsia="方正仿宋_GBK" w:cs="方正仿宋_GBK"/>
          <w:b/>
          <w:color w:val="000000"/>
          <w:sz w:val="44"/>
        </w:rPr>
        <w:br w:type="page"/>
      </w:r>
    </w:p>
    <w:p>
      <w:pPr>
        <w:pStyle w:val="12"/>
        <w:spacing w:line="500" w:lineRule="exact"/>
        <w:rPr>
          <w:rFonts w:hint="eastAsia" w:ascii="方正仿宋_GBK" w:hAnsi="方正仿宋_GBK" w:eastAsia="方正仿宋_GBK" w:cs="方正仿宋_GBK"/>
        </w:rPr>
      </w:pPr>
      <w:bookmarkStart w:id="33" w:name="_Toc16850"/>
      <w:bookmarkStart w:id="34" w:name="_Toc944"/>
      <w:bookmarkStart w:id="35" w:name="_Toc63765767"/>
      <w:bookmarkStart w:id="36" w:name="_Toc471310327"/>
      <w:bookmarkStart w:id="37" w:name="_Toc16493"/>
      <w:bookmarkStart w:id="38" w:name="_Toc7629"/>
      <w:bookmarkStart w:id="39" w:name="_Toc4889"/>
      <w:r>
        <w:rPr>
          <w:rFonts w:hint="eastAsia" w:ascii="方正仿宋_GBK" w:hAnsi="方正仿宋_GBK" w:eastAsia="方正仿宋_GBK" w:cs="方正仿宋_GBK"/>
        </w:rPr>
        <w:t>第二章  磋商须知</w:t>
      </w:r>
      <w:bookmarkEnd w:id="33"/>
      <w:bookmarkEnd w:id="34"/>
      <w:bookmarkEnd w:id="35"/>
      <w:bookmarkEnd w:id="36"/>
      <w:bookmarkEnd w:id="37"/>
      <w:bookmarkEnd w:id="38"/>
      <w:bookmarkEnd w:id="39"/>
      <w:bookmarkStart w:id="40" w:name="_Toc184283909"/>
      <w:bookmarkStart w:id="41" w:name="_Toc184274915"/>
    </w:p>
    <w:p>
      <w:pPr>
        <w:pStyle w:val="3"/>
        <w:ind w:firstLine="3241" w:firstLineChars="1153"/>
        <w:jc w:val="left"/>
        <w:rPr>
          <w:rFonts w:hint="eastAsia" w:ascii="方正仿宋_GBK" w:hAnsi="方正仿宋_GBK" w:eastAsia="方正仿宋_GBK" w:cs="方正仿宋_GBK"/>
        </w:rPr>
      </w:pPr>
      <w:bookmarkStart w:id="42" w:name="_Toc389231698"/>
      <w:bookmarkStart w:id="43" w:name="_Toc31706"/>
      <w:bookmarkStart w:id="44" w:name="_Toc229393328"/>
      <w:bookmarkStart w:id="45" w:name="_Toc213396760"/>
      <w:bookmarkStart w:id="46" w:name="_Toc471310328"/>
      <w:bookmarkStart w:id="47" w:name="_Toc442099347"/>
      <w:bookmarkStart w:id="48" w:name="_Toc16371"/>
      <w:bookmarkStart w:id="49" w:name="_Toc213496268"/>
      <w:bookmarkStart w:id="50" w:name="_Toc189727030"/>
      <w:bookmarkStart w:id="51" w:name="_Toc229393496"/>
      <w:bookmarkStart w:id="52" w:name="_Toc217446032"/>
      <w:bookmarkStart w:id="53" w:name="_Toc213397010"/>
      <w:bookmarkStart w:id="54" w:name="_Toc315962965"/>
      <w:bookmarkStart w:id="55" w:name="_Toc229393580"/>
      <w:bookmarkStart w:id="56" w:name="_Toc213396946"/>
      <w:bookmarkStart w:id="57" w:name="_Toc441921235"/>
      <w:bookmarkStart w:id="58" w:name="_Toc441679459"/>
      <w:bookmarkStart w:id="59" w:name="_Toc63765768"/>
      <w:bookmarkStart w:id="60" w:name="_Toc256502487"/>
      <w:bookmarkStart w:id="61" w:name="_Toc30328"/>
      <w:r>
        <w:rPr>
          <w:rFonts w:hint="eastAsia" w:ascii="方正仿宋_GBK" w:hAnsi="方正仿宋_GBK" w:eastAsia="方正仿宋_GBK" w:cs="方正仿宋_GBK"/>
        </w:rPr>
        <w:t>一、供应商须知附表</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tbl>
      <w:tblPr>
        <w:tblStyle w:val="13"/>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autofit"/>
        <w:tblCellMar>
          <w:top w:w="0" w:type="dxa"/>
          <w:left w:w="0" w:type="dxa"/>
          <w:bottom w:w="0" w:type="dxa"/>
          <w:right w:w="0" w:type="dxa"/>
        </w:tblCellMar>
      </w:tblPr>
      <w:tblGrid>
        <w:gridCol w:w="1012"/>
        <w:gridCol w:w="1996"/>
        <w:gridCol w:w="6493"/>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blHeader/>
          <w:jc w:val="center"/>
        </w:trPr>
        <w:tc>
          <w:tcPr>
            <w:tcW w:w="1012" w:type="dxa"/>
            <w:tcBorders>
              <w:bottom w:val="single" w:color="auto" w:sz="4" w:space="0"/>
            </w:tcBorders>
            <w:vAlign w:val="center"/>
          </w:tcPr>
          <w:p>
            <w:pPr>
              <w:pStyle w:val="22"/>
              <w:spacing w:line="500" w:lineRule="exact"/>
              <w:ind w:left="9"/>
              <w:jc w:val="center"/>
              <w:rPr>
                <w:rFonts w:hint="eastAsia" w:ascii="方正仿宋_GBK" w:hAnsi="方正仿宋_GBK" w:eastAsia="方正仿宋_GBK" w:cs="方正仿宋_GBK"/>
                <w:kern w:val="2"/>
              </w:rPr>
            </w:pPr>
            <w:r>
              <w:rPr>
                <w:rFonts w:hint="eastAsia" w:ascii="方正仿宋_GBK" w:hAnsi="方正仿宋_GBK" w:eastAsia="方正仿宋_GBK" w:cs="方正仿宋_GBK"/>
                <w:kern w:val="2"/>
              </w:rPr>
              <w:t xml:space="preserve">序号 </w:t>
            </w:r>
          </w:p>
        </w:tc>
        <w:tc>
          <w:tcPr>
            <w:tcW w:w="1996" w:type="dxa"/>
            <w:vAlign w:val="center"/>
          </w:tcPr>
          <w:p>
            <w:pPr>
              <w:pStyle w:val="22"/>
              <w:spacing w:line="500" w:lineRule="exact"/>
              <w:ind w:left="38"/>
              <w:jc w:val="center"/>
              <w:rPr>
                <w:rFonts w:hint="eastAsia" w:ascii="方正仿宋_GBK" w:hAnsi="方正仿宋_GBK" w:eastAsia="方正仿宋_GBK" w:cs="方正仿宋_GBK"/>
                <w:kern w:val="2"/>
              </w:rPr>
            </w:pPr>
            <w:r>
              <w:rPr>
                <w:rFonts w:hint="eastAsia" w:ascii="方正仿宋_GBK" w:hAnsi="方正仿宋_GBK" w:eastAsia="方正仿宋_GBK" w:cs="方正仿宋_GBK"/>
                <w:kern w:val="2"/>
              </w:rPr>
              <w:t xml:space="preserve">条款名称 </w:t>
            </w:r>
          </w:p>
        </w:tc>
        <w:tc>
          <w:tcPr>
            <w:tcW w:w="6493" w:type="dxa"/>
            <w:vAlign w:val="center"/>
          </w:tcPr>
          <w:p>
            <w:pPr>
              <w:pStyle w:val="22"/>
              <w:spacing w:line="500" w:lineRule="exact"/>
              <w:jc w:val="center"/>
              <w:rPr>
                <w:rFonts w:hint="eastAsia" w:ascii="方正仿宋_GBK" w:hAnsi="方正仿宋_GBK" w:eastAsia="方正仿宋_GBK" w:cs="方正仿宋_GBK"/>
                <w:kern w:val="2"/>
              </w:rPr>
            </w:pPr>
            <w:r>
              <w:rPr>
                <w:rFonts w:hint="eastAsia" w:ascii="方正仿宋_GBK" w:hAnsi="方正仿宋_GBK" w:eastAsia="方正仿宋_GBK" w:cs="方正仿宋_GBK"/>
                <w:kern w:val="2"/>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2" w:type="dxa"/>
            <w:tcBorders>
              <w:top w:val="single" w:color="auto" w:sz="4" w:space="0"/>
              <w:bottom w:val="single" w:color="auto" w:sz="4" w:space="0"/>
            </w:tcBorders>
            <w:vAlign w:val="center"/>
          </w:tcPr>
          <w:p>
            <w:pPr>
              <w:pStyle w:val="22"/>
              <w:spacing w:line="500" w:lineRule="exact"/>
              <w:ind w:right="230"/>
              <w:jc w:val="center"/>
              <w:rPr>
                <w:rFonts w:hint="eastAsia" w:ascii="方正仿宋_GBK" w:hAnsi="方正仿宋_GBK" w:eastAsia="方正仿宋_GBK" w:cs="方正仿宋_GBK"/>
                <w:kern w:val="2"/>
              </w:rPr>
            </w:pPr>
            <w:r>
              <w:rPr>
                <w:rFonts w:hint="eastAsia" w:ascii="方正仿宋_GBK" w:hAnsi="方正仿宋_GBK" w:eastAsia="方正仿宋_GBK" w:cs="方正仿宋_GBK"/>
                <w:kern w:val="2"/>
              </w:rPr>
              <w:t>1</w:t>
            </w:r>
          </w:p>
        </w:tc>
        <w:tc>
          <w:tcPr>
            <w:tcW w:w="1996" w:type="dxa"/>
            <w:vAlign w:val="center"/>
          </w:tcPr>
          <w:p>
            <w:pPr>
              <w:pStyle w:val="22"/>
              <w:spacing w:line="500" w:lineRule="exact"/>
              <w:jc w:val="center"/>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采购预算和</w:t>
            </w:r>
          </w:p>
          <w:p>
            <w:pPr>
              <w:pStyle w:val="22"/>
              <w:spacing w:line="500" w:lineRule="exact"/>
              <w:jc w:val="center"/>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最高限价</w:t>
            </w:r>
          </w:p>
        </w:tc>
        <w:tc>
          <w:tcPr>
            <w:tcW w:w="6493" w:type="dxa"/>
            <w:vAlign w:val="center"/>
          </w:tcPr>
          <w:p>
            <w:pPr>
              <w:pStyle w:val="22"/>
              <w:spacing w:line="500" w:lineRule="exact"/>
              <w:ind w:firstLine="240" w:firstLineChars="100"/>
              <w:jc w:val="both"/>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w:t>
            </w:r>
            <w:r>
              <w:rPr>
                <w:rFonts w:hint="eastAsia" w:ascii="方正仿宋_GBK" w:hAnsi="方正仿宋_GBK" w:eastAsia="方正仿宋_GBK" w:cs="方正仿宋_GBK"/>
              </w:rPr>
              <w:t>1</w:t>
            </w:r>
            <w:r>
              <w:rPr>
                <w:rFonts w:hint="eastAsia" w:ascii="方正仿宋_GBK" w:hAnsi="方正仿宋_GBK" w:eastAsia="方正仿宋_GBK" w:cs="方正仿宋_GBK"/>
                <w:lang w:val="zh-CN"/>
              </w:rPr>
              <w:t>）本项目的采购预算为：¥</w:t>
            </w:r>
            <w:bookmarkStart w:id="62" w:name="【Bobole_资金预算_小写_1】"/>
            <w:r>
              <w:rPr>
                <w:rFonts w:hint="eastAsia" w:ascii="方正仿宋_GBK" w:hAnsi="方正仿宋_GBK" w:eastAsia="方正仿宋_GBK" w:cs="方正仿宋_GBK"/>
                <w:lang w:val="zh-CN"/>
              </w:rPr>
              <w:t>600000</w:t>
            </w:r>
            <w:bookmarkEnd w:id="62"/>
            <w:r>
              <w:rPr>
                <w:rFonts w:hint="eastAsia" w:ascii="方正仿宋_GBK" w:hAnsi="方正仿宋_GBK" w:eastAsia="方正仿宋_GBK" w:cs="方正仿宋_GBK"/>
                <w:lang w:val="zh-CN"/>
              </w:rPr>
              <w:t>元（大写：</w:t>
            </w:r>
            <w:bookmarkStart w:id="63" w:name="【Bobole_资金预算_大写_1】"/>
            <w:r>
              <w:rPr>
                <w:rFonts w:hint="eastAsia" w:ascii="方正仿宋_GBK" w:hAnsi="方正仿宋_GBK" w:eastAsia="方正仿宋_GBK" w:cs="方正仿宋_GBK"/>
                <w:lang w:val="zh-CN"/>
              </w:rPr>
              <w:t>陆拾万元</w:t>
            </w:r>
            <w:bookmarkEnd w:id="63"/>
            <w:r>
              <w:rPr>
                <w:rFonts w:hint="eastAsia" w:ascii="方正仿宋_GBK" w:hAnsi="方正仿宋_GBK" w:eastAsia="方正仿宋_GBK" w:cs="方正仿宋_GBK"/>
                <w:lang w:val="zh-CN"/>
              </w:rPr>
              <w:t>）</w:t>
            </w:r>
          </w:p>
          <w:p>
            <w:pPr>
              <w:pStyle w:val="22"/>
              <w:spacing w:line="500" w:lineRule="exact"/>
              <w:ind w:firstLine="240" w:firstLineChars="100"/>
              <w:jc w:val="both"/>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w:t>
            </w:r>
            <w:r>
              <w:rPr>
                <w:rFonts w:hint="eastAsia" w:ascii="方正仿宋_GBK" w:hAnsi="方正仿宋_GBK" w:eastAsia="方正仿宋_GBK" w:cs="方正仿宋_GBK"/>
              </w:rPr>
              <w:t>2</w:t>
            </w:r>
            <w:r>
              <w:rPr>
                <w:rFonts w:hint="eastAsia" w:ascii="方正仿宋_GBK" w:hAnsi="方正仿宋_GBK" w:eastAsia="方正仿宋_GBK" w:cs="方正仿宋_GBK"/>
                <w:lang w:val="zh-CN"/>
              </w:rPr>
              <w:t>）本项目报价不能超过采购人设定的最高限价：¥</w:t>
            </w:r>
            <w:bookmarkStart w:id="64" w:name="【Bobole_最高限价_小写_1】"/>
            <w:r>
              <w:rPr>
                <w:rFonts w:hint="eastAsia" w:ascii="方正仿宋_GBK" w:hAnsi="方正仿宋_GBK" w:eastAsia="方正仿宋_GBK" w:cs="方正仿宋_GBK"/>
                <w:lang w:val="zh-CN"/>
              </w:rPr>
              <w:t>600000</w:t>
            </w:r>
            <w:bookmarkEnd w:id="64"/>
            <w:r>
              <w:rPr>
                <w:rFonts w:hint="eastAsia" w:ascii="方正仿宋_GBK" w:hAnsi="方正仿宋_GBK" w:eastAsia="方正仿宋_GBK" w:cs="方正仿宋_GBK"/>
                <w:lang w:val="zh-CN"/>
              </w:rPr>
              <w:t>元（大写：</w:t>
            </w:r>
            <w:bookmarkStart w:id="65" w:name="【Bobole_最高限价_大写_1】"/>
            <w:r>
              <w:rPr>
                <w:rFonts w:hint="eastAsia" w:ascii="方正仿宋_GBK" w:hAnsi="方正仿宋_GBK" w:eastAsia="方正仿宋_GBK" w:cs="方正仿宋_GBK"/>
                <w:lang w:val="zh-CN"/>
              </w:rPr>
              <w:t>陆拾万元</w:t>
            </w:r>
            <w:bookmarkEnd w:id="65"/>
            <w:r>
              <w:rPr>
                <w:rFonts w:hint="eastAsia" w:ascii="方正仿宋_GBK" w:hAnsi="方正仿宋_GBK" w:eastAsia="方正仿宋_GBK" w:cs="方正仿宋_GBK"/>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2" w:type="dxa"/>
            <w:tcBorders>
              <w:top w:val="single" w:color="auto" w:sz="4" w:space="0"/>
            </w:tcBorders>
            <w:vAlign w:val="center"/>
          </w:tcPr>
          <w:p>
            <w:pPr>
              <w:pStyle w:val="22"/>
              <w:spacing w:line="500" w:lineRule="exact"/>
              <w:ind w:right="230"/>
              <w:jc w:val="center"/>
              <w:rPr>
                <w:rFonts w:hint="eastAsia" w:ascii="方正仿宋_GBK" w:hAnsi="方正仿宋_GBK" w:eastAsia="方正仿宋_GBK" w:cs="方正仿宋_GBK"/>
                <w:kern w:val="2"/>
              </w:rPr>
            </w:pPr>
            <w:r>
              <w:rPr>
                <w:rFonts w:hint="eastAsia" w:ascii="方正仿宋_GBK" w:hAnsi="方正仿宋_GBK" w:eastAsia="方正仿宋_GBK" w:cs="方正仿宋_GBK"/>
                <w:kern w:val="2"/>
              </w:rPr>
              <w:t>2</w:t>
            </w:r>
          </w:p>
        </w:tc>
        <w:tc>
          <w:tcPr>
            <w:tcW w:w="1996" w:type="dxa"/>
            <w:vAlign w:val="center"/>
          </w:tcPr>
          <w:p>
            <w:pPr>
              <w:pStyle w:val="22"/>
              <w:spacing w:line="500" w:lineRule="exact"/>
              <w:jc w:val="center"/>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低于成本价不正当竞争预防措施</w:t>
            </w:r>
          </w:p>
        </w:tc>
        <w:tc>
          <w:tcPr>
            <w:tcW w:w="6493" w:type="dxa"/>
            <w:vAlign w:val="center"/>
          </w:tcPr>
          <w:p>
            <w:pPr>
              <w:pStyle w:val="22"/>
              <w:spacing w:line="500" w:lineRule="exact"/>
              <w:ind w:left="210" w:leftChars="100"/>
              <w:jc w:val="both"/>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（1）供应商报价低于本项目最高限价的50%，或者低于其他有效供应商报价算术平均价的40%，有可能影响采购项目的实施质量或者不能诚信履约的，磋商小组应当向其发出澄清通知；</w:t>
            </w:r>
          </w:p>
          <w:p>
            <w:pPr>
              <w:pStyle w:val="22"/>
              <w:spacing w:line="500" w:lineRule="exact"/>
              <w:ind w:left="210" w:leftChars="100"/>
              <w:jc w:val="both"/>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2）供应商应在澄清通知发出后的90分钟内提交成本构成书面说明，并附相关证明材料；供应商的书面说明应当按照国家财务会计制度的规定要求，逐项就供应商提供的货物、工程和服务的主营业务成本、税金及附加、销售费用、管理费用、财务费用等成本构成事项详细陈述；</w:t>
            </w:r>
          </w:p>
          <w:p>
            <w:pPr>
              <w:pStyle w:val="22"/>
              <w:spacing w:line="500" w:lineRule="exact"/>
              <w:ind w:left="210" w:leftChars="100"/>
              <w:jc w:val="both"/>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（3）磋商小组应当结合采购项目的需求、专业实际情况、供应商财务状况报告、与其他供应商的比较情况等就供应商的书面说明进行评价；</w:t>
            </w:r>
          </w:p>
          <w:p>
            <w:pPr>
              <w:pStyle w:val="22"/>
              <w:spacing w:line="500" w:lineRule="exact"/>
              <w:ind w:left="210" w:leftChars="100"/>
              <w:jc w:val="both"/>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（4）供应商拒绝或者变相拒绝提供有效书面说明或者书面说明不能证明其报价合理性的，磋商小组应将其响应作无效处理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2" w:type="dxa"/>
            <w:tcBorders>
              <w:top w:val="single" w:color="auto" w:sz="4" w:space="0"/>
            </w:tcBorders>
            <w:vAlign w:val="center"/>
          </w:tcPr>
          <w:p>
            <w:pPr>
              <w:pStyle w:val="22"/>
              <w:spacing w:line="500" w:lineRule="exact"/>
              <w:ind w:right="230"/>
              <w:jc w:val="center"/>
              <w:rPr>
                <w:rFonts w:hint="eastAsia" w:ascii="方正仿宋_GBK" w:hAnsi="方正仿宋_GBK" w:eastAsia="方正仿宋_GBK" w:cs="方正仿宋_GBK"/>
                <w:kern w:val="2"/>
              </w:rPr>
            </w:pPr>
            <w:r>
              <w:rPr>
                <w:rFonts w:hint="eastAsia" w:ascii="方正仿宋_GBK" w:hAnsi="方正仿宋_GBK" w:eastAsia="方正仿宋_GBK" w:cs="方正仿宋_GBK"/>
                <w:kern w:val="2"/>
              </w:rPr>
              <w:t>3</w:t>
            </w:r>
          </w:p>
        </w:tc>
        <w:tc>
          <w:tcPr>
            <w:tcW w:w="1996" w:type="dxa"/>
            <w:vAlign w:val="center"/>
          </w:tcPr>
          <w:p>
            <w:pPr>
              <w:pStyle w:val="22"/>
              <w:spacing w:line="500" w:lineRule="exact"/>
              <w:jc w:val="center"/>
              <w:rPr>
                <w:rFonts w:hint="eastAsia" w:ascii="方正仿宋_GBK" w:hAnsi="方正仿宋_GBK" w:eastAsia="方正仿宋_GBK" w:cs="方正仿宋_GBK"/>
                <w:lang w:val="zh-CN"/>
              </w:rPr>
            </w:pPr>
            <w:r>
              <w:rPr>
                <w:rFonts w:hint="eastAsia" w:ascii="方正仿宋_GBK" w:hAnsi="方正仿宋_GBK" w:eastAsia="方正仿宋_GBK" w:cs="方正仿宋_GBK"/>
                <w:sz w:val="21"/>
                <w:szCs w:val="21"/>
                <w:lang w:val="zh-CN"/>
              </w:rPr>
              <w:t>落实政府采购政策进行价格扣除和加成的方法</w:t>
            </w:r>
          </w:p>
        </w:tc>
        <w:tc>
          <w:tcPr>
            <w:tcW w:w="6493" w:type="dxa"/>
            <w:vAlign w:val="center"/>
          </w:tcPr>
          <w:p>
            <w:pPr>
              <w:pStyle w:val="22"/>
              <w:spacing w:line="440" w:lineRule="exact"/>
              <w:ind w:left="210" w:leftChars="100"/>
              <w:jc w:val="both"/>
              <w:rPr>
                <w:rFonts w:hint="eastAsia" w:ascii="方正仿宋_GBK" w:hAnsi="方正仿宋_GBK" w:eastAsia="方正仿宋_GBK" w:cs="方正仿宋_GBK"/>
                <w:b/>
                <w:bCs/>
                <w:lang w:val="zh-CN"/>
              </w:rPr>
            </w:pPr>
            <w:r>
              <w:rPr>
                <w:rFonts w:ascii="Wingdings 2" w:hAnsi="Wingdings 2" w:eastAsia="方正仿宋_GBK" w:cs="方正仿宋_GBK"/>
                <w:b/>
                <w:bCs/>
                <w:lang w:val="zh-CN"/>
              </w:rPr>
              <w:t>R</w:t>
            </w:r>
            <w:r>
              <w:rPr>
                <w:rFonts w:hint="eastAsia" w:ascii="方正仿宋_GBK" w:hAnsi="方正仿宋_GBK" w:eastAsia="方正仿宋_GBK" w:cs="方正仿宋_GBK"/>
                <w:b/>
                <w:bCs/>
                <w:lang w:val="zh-CN"/>
              </w:rPr>
              <w:t>1.专门面向中小企业采购项目不再进行价格扣除。</w:t>
            </w:r>
          </w:p>
          <w:p>
            <w:pPr>
              <w:pStyle w:val="22"/>
              <w:spacing w:line="440" w:lineRule="exact"/>
              <w:ind w:left="210" w:leftChars="100"/>
              <w:jc w:val="both"/>
              <w:rPr>
                <w:rFonts w:hint="eastAsia" w:ascii="方正仿宋_GBK" w:hAnsi="方正仿宋_GBK" w:eastAsia="方正仿宋_GBK" w:cs="方正仿宋_GBK"/>
                <w:lang w:val="zh-CN"/>
              </w:rPr>
            </w:pPr>
            <w:r>
              <w:rPr>
                <w:rFonts w:ascii="Wingdings 2" w:hAnsi="Wingdings 2" w:eastAsia="方正仿宋_GBK" w:cs="方正仿宋_GBK"/>
                <w:lang w:val="zh-CN"/>
              </w:rPr>
              <w:t>£</w:t>
            </w:r>
            <w:r>
              <w:rPr>
                <w:rFonts w:hint="eastAsia" w:ascii="方正仿宋_GBK" w:hAnsi="方正仿宋_GBK" w:eastAsia="方正仿宋_GBK" w:cs="方正仿宋_GBK"/>
                <w:lang w:val="zh-CN"/>
              </w:rPr>
              <w:t>2.非专门面向中小企业采购项目按以下情形进行价格扣除。</w:t>
            </w:r>
          </w:p>
          <w:p>
            <w:pPr>
              <w:pStyle w:val="22"/>
              <w:spacing w:line="440" w:lineRule="exact"/>
              <w:ind w:left="210" w:leftChars="100"/>
              <w:jc w:val="both"/>
              <w:rPr>
                <w:rFonts w:hint="eastAsia" w:ascii="方正仿宋_GBK" w:hAnsi="方正仿宋_GBK" w:eastAsia="方正仿宋_GBK" w:cs="方正仿宋_GBK"/>
                <w:color w:val="000000" w:themeColor="text1"/>
                <w:sz w:val="36"/>
                <w:szCs w:val="36"/>
                <w:lang w:val="zh-CN"/>
                <w14:textFill>
                  <w14:solidFill>
                    <w14:schemeClr w14:val="tx1"/>
                  </w14:solidFill>
                </w14:textFill>
              </w:rPr>
            </w:pPr>
            <w:r>
              <w:rPr>
                <w:rFonts w:hint="eastAsia" w:ascii="方正仿宋_GBK" w:hAnsi="方正仿宋_GBK" w:eastAsia="方正仿宋_GBK" w:cs="方正仿宋_GBK"/>
                <w:color w:val="000000" w:themeColor="text1"/>
                <w:lang w:val="zh-CN"/>
                <w14:textFill>
                  <w14:solidFill>
                    <w14:schemeClr w14:val="tx1"/>
                  </w14:solidFill>
                </w14:textFill>
              </w:rPr>
              <w:t>（1）对于经主管预算单位统筹后未预留份额专门面向中小企业采购的采购项目，以及预留份额项目中的非预留部分采购包，对符合《政府采购促进中小企业发展管理办法》（财库〔2020〕46号）规定的小微企业报价给予10%的扣除，用扣除后的价格参加评审；专门面向中小企业采购的项目不再进行价格扣除。符合中小企业划分标准的个体工商户，在政府采购活动中视同中小企业。</w:t>
            </w:r>
          </w:p>
          <w:p>
            <w:pPr>
              <w:pStyle w:val="22"/>
              <w:spacing w:line="440" w:lineRule="exact"/>
              <w:ind w:left="210" w:leftChars="100"/>
              <w:jc w:val="both"/>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（2）大中型企业与小微企业组成联合体的采购项目，对联合协议约定小微企业的合同份额占到合同总金额30%以上的，对联合体的报价给予3%的扣除，用扣除后的价格参加评审。</w:t>
            </w:r>
          </w:p>
          <w:p>
            <w:pPr>
              <w:pStyle w:val="22"/>
              <w:spacing w:line="440" w:lineRule="exact"/>
              <w:ind w:left="210" w:leftChars="100"/>
              <w:jc w:val="both"/>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（3）大中型企业向一家或者多家小微企业分包的采购项目，对于分包意向协议约定小微企业的合同份额占到合同总金额30%以上的，对大中型企业的报价给予3%的扣除，用扣除后的价格参加评审。</w:t>
            </w:r>
          </w:p>
          <w:p>
            <w:pPr>
              <w:pStyle w:val="22"/>
              <w:spacing w:line="500" w:lineRule="exact"/>
              <w:ind w:left="210" w:leftChars="100"/>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3.对记入诚信档案（财政部门建立的）的且在有效期内的失信供应商，在本次政府采购活动中实行直接从总分中扣分的惩戒方法，且供应商失信行为惩戒实行无限制累加制；存在一次失信行为的，扣5分，直至扣完为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2" w:type="dxa"/>
            <w:vAlign w:val="center"/>
          </w:tcPr>
          <w:p>
            <w:pPr>
              <w:pStyle w:val="22"/>
              <w:spacing w:line="500" w:lineRule="exact"/>
              <w:ind w:right="230"/>
              <w:jc w:val="center"/>
              <w:rPr>
                <w:rFonts w:hint="eastAsia" w:ascii="方正仿宋_GBK" w:hAnsi="方正仿宋_GBK" w:eastAsia="方正仿宋_GBK" w:cs="方正仿宋_GBK"/>
                <w:kern w:val="2"/>
                <w:lang w:eastAsia="zh-CN"/>
              </w:rPr>
            </w:pPr>
            <w:r>
              <w:rPr>
                <w:rFonts w:hint="eastAsia" w:ascii="方正仿宋_GBK" w:hAnsi="方正仿宋_GBK" w:eastAsia="方正仿宋_GBK" w:cs="方正仿宋_GBK"/>
                <w:kern w:val="2"/>
                <w:lang w:val="en-US" w:eastAsia="zh-CN"/>
              </w:rPr>
              <w:t>4</w:t>
            </w:r>
          </w:p>
        </w:tc>
        <w:tc>
          <w:tcPr>
            <w:tcW w:w="1996" w:type="dxa"/>
            <w:vAlign w:val="center"/>
          </w:tcPr>
          <w:p>
            <w:pPr>
              <w:pStyle w:val="22"/>
              <w:spacing w:line="500" w:lineRule="exact"/>
              <w:jc w:val="center"/>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咨询和联系</w:t>
            </w:r>
          </w:p>
        </w:tc>
        <w:tc>
          <w:tcPr>
            <w:tcW w:w="6493" w:type="dxa"/>
            <w:vAlign w:val="center"/>
          </w:tcPr>
          <w:p>
            <w:pPr>
              <w:pStyle w:val="22"/>
              <w:spacing w:line="500" w:lineRule="exact"/>
              <w:ind w:left="210" w:leftChars="100"/>
              <w:jc w:val="both"/>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（1）关于采购需求方面（即采购文件资格要求和技术、服务要求、商务要求及评分标准）的质疑由采购人负责答复，其他方面的质疑由四川振嘉工程招标代理有限公司负责接收和处理。</w:t>
            </w:r>
            <w:r>
              <w:rPr>
                <w:rFonts w:hint="eastAsia" w:ascii="方正仿宋_GBK" w:hAnsi="方正仿宋_GBK" w:eastAsia="方正仿宋_GBK" w:cs="方正仿宋_GBK"/>
                <w:color w:val="auto"/>
                <w:lang w:val="zh-CN"/>
              </w:rPr>
              <w:t>有关磋商文件获取、响应文件编制、项目质疑相关事宜的联系方式详见磋商文件第一章</w:t>
            </w:r>
            <w:r>
              <w:rPr>
                <w:rFonts w:hint="eastAsia" w:ascii="方正仿宋_GBK" w:hAnsi="方正仿宋_GBK" w:eastAsia="方正仿宋_GBK" w:cs="方正仿宋_GBK"/>
                <w:lang w:val="zh-CN"/>
              </w:rPr>
              <w:t>；</w:t>
            </w:r>
          </w:p>
          <w:p>
            <w:pPr>
              <w:pStyle w:val="22"/>
              <w:spacing w:line="500" w:lineRule="exact"/>
              <w:ind w:left="210" w:leftChars="100"/>
              <w:jc w:val="both"/>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（2）有关项目投诉事宜请联系</w:t>
            </w:r>
            <w:bookmarkStart w:id="66" w:name="【Bobole_其他信息_TSLXR】"/>
            <w:r>
              <w:rPr>
                <w:rFonts w:hint="eastAsia" w:ascii="方正仿宋_GBK" w:hAnsi="方正仿宋_GBK" w:eastAsia="方正仿宋_GBK" w:cs="方正仿宋_GBK"/>
                <w:lang w:val="zh-CN"/>
              </w:rPr>
              <w:t>巴中市财政局（0827-5260371）</w:t>
            </w:r>
            <w:bookmarkEnd w:id="6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2" w:type="dxa"/>
            <w:vAlign w:val="center"/>
          </w:tcPr>
          <w:p>
            <w:pPr>
              <w:pStyle w:val="22"/>
              <w:spacing w:line="500" w:lineRule="exact"/>
              <w:ind w:right="230"/>
              <w:jc w:val="center"/>
              <w:rPr>
                <w:rFonts w:hint="eastAsia" w:ascii="方正仿宋_GBK" w:hAnsi="方正仿宋_GBK" w:eastAsia="方正仿宋_GBK" w:cs="方正仿宋_GBK"/>
                <w:kern w:val="2"/>
                <w:lang w:eastAsia="zh-CN"/>
              </w:rPr>
            </w:pPr>
            <w:r>
              <w:rPr>
                <w:rFonts w:hint="eastAsia" w:ascii="方正仿宋_GBK" w:hAnsi="方正仿宋_GBK" w:eastAsia="方正仿宋_GBK" w:cs="方正仿宋_GBK"/>
                <w:kern w:val="2"/>
                <w:lang w:val="en-US" w:eastAsia="zh-CN"/>
              </w:rPr>
              <w:t>5</w:t>
            </w:r>
          </w:p>
        </w:tc>
        <w:tc>
          <w:tcPr>
            <w:tcW w:w="1996" w:type="dxa"/>
            <w:vAlign w:val="center"/>
          </w:tcPr>
          <w:p>
            <w:pPr>
              <w:pStyle w:val="22"/>
              <w:spacing w:line="500" w:lineRule="exact"/>
              <w:jc w:val="center"/>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报价方式</w:t>
            </w:r>
          </w:p>
        </w:tc>
        <w:tc>
          <w:tcPr>
            <w:tcW w:w="6493" w:type="dxa"/>
            <w:vAlign w:val="center"/>
          </w:tcPr>
          <w:p>
            <w:pPr>
              <w:pStyle w:val="22"/>
              <w:spacing w:line="500" w:lineRule="exact"/>
              <w:ind w:left="210" w:leftChars="100"/>
              <w:jc w:val="both"/>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多轮报价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2" w:type="dxa"/>
            <w:vAlign w:val="center"/>
          </w:tcPr>
          <w:p>
            <w:pPr>
              <w:pStyle w:val="22"/>
              <w:spacing w:line="500" w:lineRule="exact"/>
              <w:ind w:right="230"/>
              <w:jc w:val="center"/>
              <w:rPr>
                <w:rFonts w:hint="eastAsia" w:ascii="方正仿宋_GBK" w:hAnsi="方正仿宋_GBK" w:eastAsia="方正仿宋_GBK" w:cs="方正仿宋_GBK"/>
                <w:kern w:val="2"/>
                <w:lang w:eastAsia="zh-CN"/>
              </w:rPr>
            </w:pPr>
            <w:r>
              <w:rPr>
                <w:rFonts w:hint="eastAsia" w:ascii="方正仿宋_GBK" w:hAnsi="方正仿宋_GBK" w:eastAsia="方正仿宋_GBK" w:cs="方正仿宋_GBK"/>
                <w:kern w:val="2"/>
                <w:lang w:val="en-US" w:eastAsia="zh-CN"/>
              </w:rPr>
              <w:t>6</w:t>
            </w:r>
          </w:p>
        </w:tc>
        <w:tc>
          <w:tcPr>
            <w:tcW w:w="1996" w:type="dxa"/>
            <w:vAlign w:val="center"/>
          </w:tcPr>
          <w:p>
            <w:pPr>
              <w:pStyle w:val="22"/>
              <w:spacing w:line="500" w:lineRule="exact"/>
              <w:jc w:val="center"/>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联合体响应</w:t>
            </w:r>
          </w:p>
        </w:tc>
        <w:tc>
          <w:tcPr>
            <w:tcW w:w="6493" w:type="dxa"/>
            <w:vAlign w:val="center"/>
          </w:tcPr>
          <w:p>
            <w:pPr>
              <w:pStyle w:val="22"/>
              <w:spacing w:line="500" w:lineRule="exact"/>
              <w:ind w:firstLine="120" w:firstLineChars="50"/>
              <w:jc w:val="both"/>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不接受供应商组成联合体参加政府采购活动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2" w:type="dxa"/>
            <w:vAlign w:val="center"/>
          </w:tcPr>
          <w:p>
            <w:pPr>
              <w:pStyle w:val="22"/>
              <w:spacing w:line="500" w:lineRule="exact"/>
              <w:ind w:right="230"/>
              <w:jc w:val="center"/>
              <w:rPr>
                <w:rFonts w:hint="eastAsia" w:ascii="方正仿宋_GBK" w:hAnsi="方正仿宋_GBK" w:eastAsia="方正仿宋_GBK" w:cs="方正仿宋_GBK"/>
                <w:kern w:val="2"/>
                <w:lang w:eastAsia="zh-CN"/>
              </w:rPr>
            </w:pPr>
            <w:r>
              <w:rPr>
                <w:rFonts w:hint="eastAsia" w:ascii="方正仿宋_GBK" w:hAnsi="方正仿宋_GBK" w:eastAsia="方正仿宋_GBK" w:cs="方正仿宋_GBK"/>
                <w:kern w:val="2"/>
                <w:lang w:val="en-US" w:eastAsia="zh-CN"/>
              </w:rPr>
              <w:t>7</w:t>
            </w:r>
          </w:p>
        </w:tc>
        <w:tc>
          <w:tcPr>
            <w:tcW w:w="1996" w:type="dxa"/>
            <w:vAlign w:val="center"/>
          </w:tcPr>
          <w:p>
            <w:pPr>
              <w:pStyle w:val="22"/>
              <w:spacing w:line="500" w:lineRule="exact"/>
              <w:jc w:val="center"/>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现场踏勘和答疑</w:t>
            </w:r>
          </w:p>
        </w:tc>
        <w:tc>
          <w:tcPr>
            <w:tcW w:w="6493" w:type="dxa"/>
            <w:vAlign w:val="center"/>
          </w:tcPr>
          <w:p>
            <w:pPr>
              <w:pStyle w:val="22"/>
              <w:spacing w:line="500" w:lineRule="exact"/>
              <w:ind w:left="210" w:leftChars="100"/>
              <w:jc w:val="both"/>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不举行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2" w:type="dxa"/>
            <w:vAlign w:val="center"/>
          </w:tcPr>
          <w:p>
            <w:pPr>
              <w:pStyle w:val="22"/>
              <w:spacing w:line="500" w:lineRule="exact"/>
              <w:ind w:right="230"/>
              <w:jc w:val="center"/>
              <w:rPr>
                <w:rFonts w:hint="eastAsia" w:ascii="方正仿宋_GBK" w:hAnsi="方正仿宋_GBK" w:eastAsia="方正仿宋_GBK" w:cs="方正仿宋_GBK"/>
                <w:kern w:val="2"/>
                <w:lang w:eastAsia="zh-CN"/>
              </w:rPr>
            </w:pPr>
            <w:r>
              <w:rPr>
                <w:rFonts w:hint="eastAsia" w:ascii="方正仿宋_GBK" w:hAnsi="方正仿宋_GBK" w:eastAsia="方正仿宋_GBK" w:cs="方正仿宋_GBK"/>
                <w:kern w:val="2"/>
                <w:lang w:val="en-US" w:eastAsia="zh-CN"/>
              </w:rPr>
              <w:t>8</w:t>
            </w:r>
          </w:p>
        </w:tc>
        <w:tc>
          <w:tcPr>
            <w:tcW w:w="1996" w:type="dxa"/>
            <w:vAlign w:val="center"/>
          </w:tcPr>
          <w:p>
            <w:pPr>
              <w:pStyle w:val="22"/>
              <w:spacing w:line="500" w:lineRule="exact"/>
              <w:jc w:val="center"/>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响应有效期</w:t>
            </w:r>
          </w:p>
        </w:tc>
        <w:tc>
          <w:tcPr>
            <w:tcW w:w="6493" w:type="dxa"/>
            <w:vAlign w:val="center"/>
          </w:tcPr>
          <w:p>
            <w:pPr>
              <w:pStyle w:val="22"/>
              <w:spacing w:line="500" w:lineRule="exact"/>
              <w:ind w:left="210" w:leftChars="100"/>
              <w:jc w:val="both"/>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90日，自提交首次响应文件的截止时间起算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2" w:type="dxa"/>
            <w:vAlign w:val="center"/>
          </w:tcPr>
          <w:p>
            <w:pPr>
              <w:pStyle w:val="22"/>
              <w:spacing w:line="500" w:lineRule="exact"/>
              <w:ind w:right="230"/>
              <w:jc w:val="center"/>
              <w:rPr>
                <w:rFonts w:hint="eastAsia" w:ascii="方正仿宋_GBK" w:hAnsi="方正仿宋_GBK" w:eastAsia="方正仿宋_GBK" w:cs="方正仿宋_GBK"/>
                <w:kern w:val="2"/>
                <w:lang w:eastAsia="zh-CN"/>
              </w:rPr>
            </w:pPr>
            <w:r>
              <w:rPr>
                <w:rFonts w:hint="eastAsia" w:ascii="方正仿宋_GBK" w:hAnsi="方正仿宋_GBK" w:eastAsia="方正仿宋_GBK" w:cs="方正仿宋_GBK"/>
                <w:kern w:val="2"/>
                <w:lang w:val="en-US" w:eastAsia="zh-CN"/>
              </w:rPr>
              <w:t>9</w:t>
            </w:r>
          </w:p>
        </w:tc>
        <w:tc>
          <w:tcPr>
            <w:tcW w:w="1996" w:type="dxa"/>
            <w:vAlign w:val="center"/>
          </w:tcPr>
          <w:p>
            <w:pPr>
              <w:pStyle w:val="22"/>
              <w:spacing w:line="500" w:lineRule="exact"/>
              <w:jc w:val="center"/>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磋商担保</w:t>
            </w:r>
          </w:p>
        </w:tc>
        <w:tc>
          <w:tcPr>
            <w:tcW w:w="6493" w:type="dxa"/>
            <w:vAlign w:val="center"/>
          </w:tcPr>
          <w:p>
            <w:pPr>
              <w:pStyle w:val="22"/>
              <w:spacing w:line="500" w:lineRule="exact"/>
              <w:ind w:left="210" w:leftChars="100"/>
              <w:jc w:val="both"/>
              <w:rPr>
                <w:rFonts w:hint="eastAsia" w:ascii="方正仿宋_GBK" w:hAnsi="方正仿宋_GBK" w:eastAsia="方正仿宋_GBK" w:cs="方正仿宋_GBK"/>
                <w:lang w:val="zh-CN"/>
              </w:rPr>
            </w:pPr>
            <w:bookmarkStart w:id="67" w:name="_Hlk3457325"/>
            <w:r>
              <w:rPr>
                <w:rFonts w:hint="eastAsia" w:ascii="方正仿宋_GBK" w:hAnsi="方正仿宋_GBK" w:eastAsia="方正仿宋_GBK" w:cs="方正仿宋_GBK"/>
                <w:lang w:val="zh-CN"/>
              </w:rPr>
              <w:t>本项目不设磋商担保；供应商无需为参与本次政府采购项目提交磋商保证金或保函</w:t>
            </w:r>
            <w:bookmarkEnd w:id="6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2" w:type="dxa"/>
            <w:vAlign w:val="center"/>
          </w:tcPr>
          <w:p>
            <w:pPr>
              <w:pStyle w:val="22"/>
              <w:spacing w:line="500" w:lineRule="exact"/>
              <w:ind w:right="230"/>
              <w:jc w:val="center"/>
              <w:rPr>
                <w:rFonts w:hint="eastAsia" w:ascii="方正仿宋_GBK" w:hAnsi="方正仿宋_GBK" w:eastAsia="方正仿宋_GBK" w:cs="方正仿宋_GBK"/>
                <w:kern w:val="2"/>
                <w:lang w:val="en-US" w:eastAsia="zh-CN"/>
              </w:rPr>
            </w:pPr>
            <w:r>
              <w:rPr>
                <w:rFonts w:hint="eastAsia" w:ascii="方正仿宋_GBK" w:hAnsi="方正仿宋_GBK" w:eastAsia="方正仿宋_GBK" w:cs="方正仿宋_GBK"/>
                <w:kern w:val="2"/>
                <w:lang w:val="en-US" w:eastAsia="zh-CN"/>
              </w:rPr>
              <w:t>10</w:t>
            </w:r>
          </w:p>
        </w:tc>
        <w:tc>
          <w:tcPr>
            <w:tcW w:w="1996" w:type="dxa"/>
            <w:vAlign w:val="center"/>
          </w:tcPr>
          <w:p>
            <w:pPr>
              <w:pStyle w:val="22"/>
              <w:spacing w:line="500" w:lineRule="exact"/>
              <w:jc w:val="center"/>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本项目拟推荐成交候选人的最小数量</w:t>
            </w:r>
          </w:p>
        </w:tc>
        <w:tc>
          <w:tcPr>
            <w:tcW w:w="6493" w:type="dxa"/>
            <w:vAlign w:val="center"/>
          </w:tcPr>
          <w:p>
            <w:pPr>
              <w:pStyle w:val="22"/>
              <w:spacing w:line="500" w:lineRule="exact"/>
              <w:ind w:firstLine="240" w:firstLineChars="100"/>
              <w:rPr>
                <w:rFonts w:hint="eastAsia" w:ascii="方正仿宋_GBK" w:hAnsi="方正仿宋_GBK" w:eastAsia="方正仿宋_GBK" w:cs="方正仿宋_GBK"/>
                <w:lang w:val="zh-CN"/>
              </w:rPr>
            </w:pPr>
            <w:bookmarkStart w:id="68" w:name="【Bobole_其他信息_NTJHXRSL】"/>
            <w:r>
              <w:rPr>
                <w:rFonts w:hint="eastAsia" w:ascii="方正仿宋_GBK" w:hAnsi="方正仿宋_GBK" w:eastAsia="方正仿宋_GBK" w:cs="方正仿宋_GBK"/>
                <w:lang w:val="zh-CN"/>
              </w:rPr>
              <w:t>3</w:t>
            </w:r>
            <w:bookmarkEnd w:id="6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2" w:type="dxa"/>
            <w:vAlign w:val="center"/>
          </w:tcPr>
          <w:p>
            <w:pPr>
              <w:pStyle w:val="22"/>
              <w:spacing w:line="500" w:lineRule="exact"/>
              <w:ind w:right="230"/>
              <w:jc w:val="center"/>
              <w:rPr>
                <w:rFonts w:hint="eastAsia" w:ascii="方正仿宋_GBK" w:hAnsi="方正仿宋_GBK" w:eastAsia="方正仿宋_GBK" w:cs="方正仿宋_GBK"/>
                <w:kern w:val="2"/>
                <w:lang w:eastAsia="zh-CN"/>
              </w:rPr>
            </w:pPr>
            <w:r>
              <w:rPr>
                <w:rFonts w:hint="eastAsia" w:ascii="方正仿宋_GBK" w:hAnsi="方正仿宋_GBK" w:eastAsia="方正仿宋_GBK" w:cs="方正仿宋_GBK"/>
                <w:kern w:val="2"/>
              </w:rPr>
              <w:t>1</w:t>
            </w:r>
            <w:r>
              <w:rPr>
                <w:rFonts w:hint="eastAsia" w:ascii="方正仿宋_GBK" w:hAnsi="方正仿宋_GBK" w:eastAsia="方正仿宋_GBK" w:cs="方正仿宋_GBK"/>
                <w:kern w:val="2"/>
                <w:lang w:val="en-US" w:eastAsia="zh-CN"/>
              </w:rPr>
              <w:t>1</w:t>
            </w:r>
          </w:p>
        </w:tc>
        <w:tc>
          <w:tcPr>
            <w:tcW w:w="1996" w:type="dxa"/>
            <w:vAlign w:val="center"/>
          </w:tcPr>
          <w:p>
            <w:pPr>
              <w:pStyle w:val="22"/>
              <w:spacing w:line="500" w:lineRule="exact"/>
              <w:ind w:left="52"/>
              <w:jc w:val="center"/>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本项目拟确定的成交人数量</w:t>
            </w:r>
          </w:p>
        </w:tc>
        <w:tc>
          <w:tcPr>
            <w:tcW w:w="6493" w:type="dxa"/>
            <w:vAlign w:val="center"/>
          </w:tcPr>
          <w:p>
            <w:pPr>
              <w:pStyle w:val="22"/>
              <w:spacing w:line="500" w:lineRule="exact"/>
              <w:ind w:left="240" w:hanging="240" w:hangingChars="100"/>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 xml:space="preserve">  </w:t>
            </w:r>
            <w:bookmarkStart w:id="69" w:name="【Bobole_其他信息_NQDZBRSL】"/>
            <w:r>
              <w:rPr>
                <w:rFonts w:hint="eastAsia" w:ascii="方正仿宋_GBK" w:hAnsi="方正仿宋_GBK" w:eastAsia="方正仿宋_GBK" w:cs="方正仿宋_GBK"/>
                <w:lang w:val="zh-CN"/>
              </w:rPr>
              <w:t>1</w:t>
            </w:r>
            <w:bookmarkEnd w:id="6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2" w:type="dxa"/>
            <w:vAlign w:val="center"/>
          </w:tcPr>
          <w:p>
            <w:pPr>
              <w:pStyle w:val="22"/>
              <w:spacing w:line="500" w:lineRule="exact"/>
              <w:ind w:right="230"/>
              <w:jc w:val="center"/>
              <w:rPr>
                <w:rFonts w:hint="eastAsia" w:ascii="方正仿宋_GBK" w:hAnsi="方正仿宋_GBK" w:eastAsia="方正仿宋_GBK" w:cs="方正仿宋_GBK"/>
                <w:kern w:val="2"/>
                <w:lang w:eastAsia="zh-CN"/>
              </w:rPr>
            </w:pPr>
            <w:r>
              <w:rPr>
                <w:rFonts w:hint="eastAsia" w:ascii="方正仿宋_GBK" w:hAnsi="方正仿宋_GBK" w:eastAsia="方正仿宋_GBK" w:cs="方正仿宋_GBK"/>
                <w:kern w:val="2"/>
              </w:rPr>
              <w:t>1</w:t>
            </w:r>
            <w:r>
              <w:rPr>
                <w:rFonts w:hint="eastAsia" w:ascii="方正仿宋_GBK" w:hAnsi="方正仿宋_GBK" w:eastAsia="方正仿宋_GBK" w:cs="方正仿宋_GBK"/>
                <w:kern w:val="2"/>
                <w:lang w:val="en-US" w:eastAsia="zh-CN"/>
              </w:rPr>
              <w:t>2</w:t>
            </w:r>
          </w:p>
        </w:tc>
        <w:tc>
          <w:tcPr>
            <w:tcW w:w="1996" w:type="dxa"/>
            <w:vAlign w:val="center"/>
          </w:tcPr>
          <w:p>
            <w:pPr>
              <w:pStyle w:val="22"/>
              <w:spacing w:line="500" w:lineRule="exact"/>
              <w:ind w:left="33"/>
              <w:jc w:val="center"/>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提交履约担保</w:t>
            </w:r>
          </w:p>
        </w:tc>
        <w:tc>
          <w:tcPr>
            <w:tcW w:w="6493" w:type="dxa"/>
            <w:vAlign w:val="center"/>
          </w:tcPr>
          <w:p>
            <w:pPr>
              <w:pStyle w:val="22"/>
              <w:spacing w:line="500" w:lineRule="exact"/>
              <w:ind w:firstLine="240" w:firstLineChars="100"/>
              <w:jc w:val="both"/>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本项目不设履约担保；中标人无需为履行本项目政府采购合同提供履约保证金或履约保函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2" w:type="dxa"/>
            <w:vAlign w:val="center"/>
          </w:tcPr>
          <w:p>
            <w:pPr>
              <w:pStyle w:val="22"/>
              <w:spacing w:line="500" w:lineRule="exact"/>
              <w:ind w:right="230"/>
              <w:jc w:val="center"/>
              <w:rPr>
                <w:rFonts w:hint="eastAsia" w:ascii="方正仿宋_GBK" w:hAnsi="方正仿宋_GBK" w:eastAsia="方正仿宋_GBK" w:cs="方正仿宋_GBK"/>
                <w:kern w:val="2"/>
                <w:lang w:eastAsia="zh-CN"/>
              </w:rPr>
            </w:pPr>
            <w:r>
              <w:rPr>
                <w:rFonts w:hint="eastAsia" w:ascii="方正仿宋_GBK" w:hAnsi="方正仿宋_GBK" w:eastAsia="方正仿宋_GBK" w:cs="方正仿宋_GBK"/>
                <w:kern w:val="2"/>
              </w:rPr>
              <w:t>1</w:t>
            </w:r>
            <w:r>
              <w:rPr>
                <w:rFonts w:hint="eastAsia" w:ascii="方正仿宋_GBK" w:hAnsi="方正仿宋_GBK" w:eastAsia="方正仿宋_GBK" w:cs="方正仿宋_GBK"/>
                <w:kern w:val="2"/>
                <w:lang w:val="en-US" w:eastAsia="zh-CN"/>
              </w:rPr>
              <w:t>3</w:t>
            </w:r>
          </w:p>
        </w:tc>
        <w:tc>
          <w:tcPr>
            <w:tcW w:w="1996" w:type="dxa"/>
            <w:vAlign w:val="center"/>
          </w:tcPr>
          <w:p>
            <w:pPr>
              <w:pStyle w:val="22"/>
              <w:spacing w:line="500" w:lineRule="exact"/>
              <w:jc w:val="center"/>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政府采购合同分包、转包</w:t>
            </w:r>
          </w:p>
        </w:tc>
        <w:tc>
          <w:tcPr>
            <w:tcW w:w="6493" w:type="dxa"/>
            <w:vAlign w:val="center"/>
          </w:tcPr>
          <w:p>
            <w:pPr>
              <w:pStyle w:val="22"/>
              <w:spacing w:line="500" w:lineRule="exact"/>
              <w:ind w:firstLine="240" w:firstLineChars="100"/>
              <w:rPr>
                <w:rFonts w:hint="eastAsia" w:ascii="方正仿宋_GBK" w:hAnsi="方正仿宋_GBK" w:eastAsia="方正仿宋_GBK" w:cs="方正仿宋_GBK"/>
                <w:lang w:val="zh-CN"/>
              </w:rPr>
            </w:pPr>
            <w:bookmarkStart w:id="70" w:name="【Bobole_其他信息_SFYXHTFB】"/>
            <w:r>
              <w:rPr>
                <w:rFonts w:hint="eastAsia" w:ascii="方正仿宋_GBK" w:hAnsi="方正仿宋_GBK" w:eastAsia="方正仿宋_GBK" w:cs="方正仿宋_GBK"/>
                <w:lang w:val="zh-CN"/>
              </w:rPr>
              <w:t>采购合同不接受分包、转包</w:t>
            </w:r>
            <w:bookmarkEnd w:id="70"/>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2" w:type="dxa"/>
            <w:vAlign w:val="center"/>
          </w:tcPr>
          <w:p>
            <w:pPr>
              <w:pStyle w:val="22"/>
              <w:spacing w:line="500" w:lineRule="exact"/>
              <w:ind w:right="230"/>
              <w:jc w:val="center"/>
              <w:rPr>
                <w:rFonts w:hint="eastAsia" w:ascii="方正仿宋_GBK" w:hAnsi="方正仿宋_GBK" w:eastAsia="方正仿宋_GBK" w:cs="方正仿宋_GBK"/>
                <w:kern w:val="2"/>
                <w:lang w:val="en-US" w:eastAsia="zh-CN"/>
              </w:rPr>
            </w:pPr>
            <w:r>
              <w:rPr>
                <w:rFonts w:hint="eastAsia" w:ascii="方正仿宋_GBK" w:hAnsi="方正仿宋_GBK" w:eastAsia="方正仿宋_GBK" w:cs="方正仿宋_GBK"/>
                <w:kern w:val="2"/>
                <w:lang w:val="en-US" w:eastAsia="zh-CN"/>
              </w:rPr>
              <w:t>14</w:t>
            </w:r>
          </w:p>
        </w:tc>
        <w:tc>
          <w:tcPr>
            <w:tcW w:w="1996" w:type="dxa"/>
            <w:vAlign w:val="center"/>
          </w:tcPr>
          <w:p>
            <w:pPr>
              <w:pStyle w:val="22"/>
              <w:spacing w:line="500" w:lineRule="exact"/>
              <w:jc w:val="center"/>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项目名称的一致性</w:t>
            </w:r>
          </w:p>
        </w:tc>
        <w:tc>
          <w:tcPr>
            <w:tcW w:w="6493" w:type="dxa"/>
            <w:vAlign w:val="center"/>
          </w:tcPr>
          <w:p>
            <w:pPr>
              <w:pStyle w:val="22"/>
              <w:spacing w:line="500" w:lineRule="exact"/>
              <w:ind w:left="210" w:leftChars="100"/>
              <w:jc w:val="both"/>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因政府采购公告发布网站使用制式填制形式，可能导致政府采购公告页面显示的项目名称与磋商文件所示不一致；为避免混淆，项目名称以磋商文件第一章所示内容为准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2" w:type="dxa"/>
            <w:vAlign w:val="center"/>
          </w:tcPr>
          <w:p>
            <w:pPr>
              <w:pStyle w:val="22"/>
              <w:spacing w:line="500" w:lineRule="exact"/>
              <w:ind w:right="230"/>
              <w:jc w:val="center"/>
              <w:rPr>
                <w:rFonts w:hint="eastAsia" w:ascii="方正仿宋_GBK" w:hAnsi="方正仿宋_GBK" w:eastAsia="方正仿宋_GBK" w:cs="方正仿宋_GBK"/>
                <w:kern w:val="2"/>
                <w:lang w:val="en-US" w:eastAsia="zh-CN"/>
              </w:rPr>
            </w:pPr>
            <w:r>
              <w:rPr>
                <w:rFonts w:hint="eastAsia" w:ascii="方正仿宋_GBK" w:hAnsi="方正仿宋_GBK" w:eastAsia="方正仿宋_GBK" w:cs="方正仿宋_GBK"/>
                <w:kern w:val="2"/>
                <w:lang w:val="en-US" w:eastAsia="zh-CN"/>
              </w:rPr>
              <w:t>15</w:t>
            </w:r>
          </w:p>
        </w:tc>
        <w:tc>
          <w:tcPr>
            <w:tcW w:w="1996" w:type="dxa"/>
            <w:vAlign w:val="center"/>
          </w:tcPr>
          <w:p>
            <w:pPr>
              <w:pStyle w:val="22"/>
              <w:spacing w:line="500" w:lineRule="exact"/>
              <w:jc w:val="center"/>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本项目文件递交</w:t>
            </w:r>
          </w:p>
        </w:tc>
        <w:tc>
          <w:tcPr>
            <w:tcW w:w="6493" w:type="dxa"/>
            <w:vAlign w:val="center"/>
          </w:tcPr>
          <w:p>
            <w:pPr>
              <w:pStyle w:val="22"/>
              <w:spacing w:line="500" w:lineRule="exact"/>
              <w:ind w:left="210" w:leftChars="100"/>
              <w:jc w:val="both"/>
              <w:rPr>
                <w:rFonts w:hint="eastAsia" w:ascii="方正仿宋_GBK" w:hAnsi="方正仿宋_GBK" w:eastAsia="方正仿宋_GBK" w:cs="方正仿宋_GBK"/>
                <w:lang w:val="zh-CN"/>
              </w:rPr>
            </w:pPr>
            <w:r>
              <w:rPr>
                <w:rFonts w:hint="eastAsia" w:ascii="方正仿宋_GBK" w:hAnsi="方正仿宋_GBK" w:eastAsia="方正仿宋_GBK" w:cs="方正仿宋_GBK"/>
                <w:kern w:val="0"/>
                <w:sz w:val="24"/>
                <w:szCs w:val="24"/>
                <w:lang w:val="zh-CN"/>
              </w:rPr>
              <w:t>供应商将XXX.BBL和XXX.BZL的电子化响应文件提交至巴中市电子化政府采购系统。</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2" w:type="dxa"/>
            <w:vAlign w:val="center"/>
          </w:tcPr>
          <w:p>
            <w:pPr>
              <w:pStyle w:val="22"/>
              <w:spacing w:line="500" w:lineRule="exact"/>
              <w:ind w:right="230"/>
              <w:jc w:val="center"/>
              <w:rPr>
                <w:rFonts w:hint="eastAsia" w:ascii="方正仿宋_GBK" w:hAnsi="方正仿宋_GBK" w:eastAsia="方正仿宋_GBK" w:cs="方正仿宋_GBK"/>
                <w:kern w:val="2"/>
                <w:lang w:val="en-US" w:eastAsia="zh-CN"/>
              </w:rPr>
            </w:pPr>
            <w:r>
              <w:rPr>
                <w:rFonts w:hint="eastAsia" w:ascii="方正仿宋_GBK" w:hAnsi="方正仿宋_GBK" w:eastAsia="方正仿宋_GBK" w:cs="方正仿宋_GBK"/>
                <w:kern w:val="2"/>
                <w:lang w:val="en-US" w:eastAsia="zh-CN"/>
              </w:rPr>
              <w:t>16</w:t>
            </w:r>
          </w:p>
        </w:tc>
        <w:tc>
          <w:tcPr>
            <w:tcW w:w="1996" w:type="dxa"/>
            <w:vAlign w:val="center"/>
          </w:tcPr>
          <w:p>
            <w:pPr>
              <w:pStyle w:val="22"/>
              <w:spacing w:line="500" w:lineRule="exact"/>
              <w:jc w:val="center"/>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代理服务费收费标准或金额</w:t>
            </w:r>
          </w:p>
        </w:tc>
        <w:tc>
          <w:tcPr>
            <w:tcW w:w="6493" w:type="dxa"/>
            <w:vAlign w:val="center"/>
          </w:tcPr>
          <w:p>
            <w:pPr>
              <w:pStyle w:val="22"/>
              <w:spacing w:line="500" w:lineRule="exact"/>
              <w:ind w:left="210" w:leftChars="100"/>
              <w:jc w:val="both"/>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eastAsia="zh-CN"/>
              </w:rPr>
              <w:t>本项目</w:t>
            </w:r>
            <w:r>
              <w:rPr>
                <w:rFonts w:hint="eastAsia" w:ascii="方正仿宋_GBK" w:hAnsi="方正仿宋_GBK" w:eastAsia="方正仿宋_GBK" w:cs="方正仿宋_GBK"/>
                <w:lang w:val="zh-CN"/>
              </w:rPr>
              <w:t>代理服务费用由成交供应商在成交通知书发出前向代理机构交纳；</w:t>
            </w:r>
          </w:p>
          <w:p>
            <w:pPr>
              <w:pStyle w:val="22"/>
              <w:spacing w:line="500" w:lineRule="exact"/>
              <w:ind w:left="210" w:leftChars="100"/>
              <w:jc w:val="both"/>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收款单位：四川振嘉工程招标代理有限公司；</w:t>
            </w:r>
          </w:p>
          <w:p>
            <w:pPr>
              <w:pStyle w:val="22"/>
              <w:spacing w:line="500" w:lineRule="exact"/>
              <w:ind w:left="210" w:leftChars="100"/>
              <w:jc w:val="both"/>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开户行：中国工商银行股份有限公司巴中分行；</w:t>
            </w:r>
          </w:p>
          <w:p>
            <w:pPr>
              <w:pStyle w:val="22"/>
              <w:spacing w:line="500" w:lineRule="exact"/>
              <w:ind w:left="210" w:leftChars="100"/>
              <w:jc w:val="both"/>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银行账号：2318597109100226061。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2" w:type="dxa"/>
            <w:vAlign w:val="center"/>
          </w:tcPr>
          <w:p>
            <w:pPr>
              <w:pStyle w:val="22"/>
              <w:spacing w:line="500" w:lineRule="exact"/>
              <w:ind w:right="230"/>
              <w:jc w:val="center"/>
              <w:rPr>
                <w:rFonts w:hint="eastAsia" w:ascii="方正仿宋_GBK" w:hAnsi="方正仿宋_GBK" w:eastAsia="方正仿宋_GBK" w:cs="方正仿宋_GBK"/>
                <w:kern w:val="2"/>
                <w:lang w:val="en-US" w:eastAsia="zh-CN"/>
              </w:rPr>
            </w:pPr>
            <w:r>
              <w:rPr>
                <w:rFonts w:hint="eastAsia" w:ascii="方正仿宋_GBK" w:hAnsi="方正仿宋_GBK" w:eastAsia="方正仿宋_GBK" w:cs="方正仿宋_GBK"/>
                <w:kern w:val="2"/>
                <w:lang w:val="en-US" w:eastAsia="zh-CN"/>
              </w:rPr>
              <w:t>17</w:t>
            </w:r>
          </w:p>
        </w:tc>
        <w:tc>
          <w:tcPr>
            <w:tcW w:w="1996" w:type="dxa"/>
            <w:vAlign w:val="center"/>
          </w:tcPr>
          <w:p>
            <w:pPr>
              <w:tabs>
                <w:tab w:val="left" w:pos="700"/>
              </w:tabs>
              <w:autoSpaceDE w:val="0"/>
              <w:autoSpaceDN w:val="0"/>
              <w:adjustRightInd w:val="0"/>
              <w:spacing w:line="440" w:lineRule="exact"/>
              <w:ind w:left="210" w:leftChars="100"/>
              <w:jc w:val="left"/>
              <w:rPr>
                <w:rFonts w:hint="eastAsia" w:ascii="方正仿宋_GBK" w:hAnsi="方正仿宋_GBK" w:eastAsia="方正仿宋_GBK" w:cs="方正仿宋_GBK"/>
                <w:lang w:val="zh-CN"/>
              </w:rPr>
            </w:pPr>
            <w:r>
              <w:rPr>
                <w:rFonts w:hint="eastAsia" w:ascii="方正仿宋_GBK" w:hAnsi="方正仿宋_GBK" w:eastAsia="方正仿宋_GBK" w:cs="方正仿宋_GBK"/>
                <w:sz w:val="24"/>
              </w:rPr>
              <w:t>办理“政采贷”</w:t>
            </w:r>
          </w:p>
        </w:tc>
        <w:tc>
          <w:tcPr>
            <w:tcW w:w="6493" w:type="dxa"/>
            <w:vAlign w:val="center"/>
          </w:tcPr>
          <w:p>
            <w:pPr>
              <w:pStyle w:val="22"/>
              <w:spacing w:line="500" w:lineRule="exact"/>
              <w:ind w:left="210" w:leftChars="100"/>
              <w:jc w:val="both"/>
              <w:rPr>
                <w:rFonts w:hint="eastAsia" w:ascii="方正仿宋_GBK" w:hAnsi="方正仿宋_GBK" w:eastAsia="方正仿宋_GBK" w:cs="方正仿宋_GBK"/>
                <w:lang w:val="zh-CN"/>
              </w:rPr>
            </w:pPr>
            <w:r>
              <w:rPr>
                <w:rFonts w:hint="eastAsia" w:ascii="方正仿宋_GBK" w:hAnsi="方正仿宋_GBK" w:eastAsia="方正仿宋_GBK" w:cs="方正仿宋_GBK"/>
                <w:sz w:val="24"/>
              </w:rPr>
              <w:t>为助力解决中小企业、民营企业融资难、融资贵的问题，符合我省“政采贷”办理条件的中标人,可按照规定基于政府采购合同按优惠贷款利率办理“政采贷”,办理渠道见四川省政采贷信息服务平台（http://202.61.88.41:9009/static/login/login.html）。</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2" w:type="dxa"/>
            <w:vAlign w:val="center"/>
          </w:tcPr>
          <w:p>
            <w:pPr>
              <w:pStyle w:val="22"/>
              <w:spacing w:line="500" w:lineRule="exact"/>
              <w:ind w:right="230"/>
              <w:jc w:val="center"/>
              <w:rPr>
                <w:rFonts w:hint="eastAsia" w:ascii="方正仿宋_GBK" w:hAnsi="方正仿宋_GBK" w:eastAsia="方正仿宋_GBK" w:cs="方正仿宋_GBK"/>
                <w:kern w:val="2"/>
                <w:lang w:val="en-US" w:eastAsia="zh-CN"/>
              </w:rPr>
            </w:pPr>
            <w:r>
              <w:rPr>
                <w:rFonts w:hint="eastAsia" w:ascii="方正仿宋_GBK" w:hAnsi="方正仿宋_GBK" w:eastAsia="方正仿宋_GBK" w:cs="方正仿宋_GBK"/>
                <w:kern w:val="2"/>
                <w:lang w:val="en-US" w:eastAsia="zh-CN"/>
              </w:rPr>
              <w:t>18</w:t>
            </w:r>
          </w:p>
        </w:tc>
        <w:tc>
          <w:tcPr>
            <w:tcW w:w="1996" w:type="dxa"/>
            <w:vAlign w:val="center"/>
          </w:tcPr>
          <w:p>
            <w:pPr>
              <w:tabs>
                <w:tab w:val="left" w:pos="700"/>
              </w:tabs>
              <w:autoSpaceDE w:val="0"/>
              <w:autoSpaceDN w:val="0"/>
              <w:adjustRightInd w:val="0"/>
              <w:spacing w:line="440" w:lineRule="exact"/>
              <w:ind w:left="210" w:leftChars="100"/>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1"/>
                <w:szCs w:val="21"/>
              </w:rPr>
              <w:t>节能、环保及无线局域网产品政府采购政策</w:t>
            </w:r>
          </w:p>
        </w:tc>
        <w:tc>
          <w:tcPr>
            <w:tcW w:w="6493" w:type="dxa"/>
            <w:vAlign w:val="center"/>
          </w:tcPr>
          <w:p>
            <w:pPr>
              <w:pStyle w:val="22"/>
              <w:spacing w:line="440" w:lineRule="exact"/>
              <w:ind w:left="210" w:leftChars="100"/>
              <w:jc w:val="both"/>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（1）采购产品属于强制采购品目的，应当采购品目内的产品。</w:t>
            </w:r>
          </w:p>
          <w:p>
            <w:pPr>
              <w:pStyle w:val="22"/>
              <w:spacing w:line="440" w:lineRule="exact"/>
              <w:ind w:left="210" w:leftChars="100"/>
              <w:jc w:val="both"/>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（2）采购项目属于优先采购品目的，优先采购环保节能产品。</w:t>
            </w:r>
          </w:p>
          <w:p>
            <w:pPr>
              <w:pStyle w:val="22"/>
              <w:spacing w:line="500" w:lineRule="exact"/>
              <w:ind w:left="210" w:leftChars="100"/>
              <w:jc w:val="both"/>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注：以中国政府采购网（www.ccgp.gov.cn）查询结果为准。节能环保政策详见文件第二章总则中第七点“环保节能产品”。</w:t>
            </w:r>
          </w:p>
          <w:p>
            <w:pPr>
              <w:pStyle w:val="22"/>
              <w:spacing w:line="500" w:lineRule="exact"/>
              <w:ind w:left="210" w:leftChars="100"/>
              <w:jc w:val="both"/>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w:t>
            </w:r>
            <w:r>
              <w:rPr>
                <w:rFonts w:hint="eastAsia" w:ascii="方正仿宋_GBK" w:hAnsi="方正仿宋_GBK" w:eastAsia="方正仿宋_GBK" w:cs="方正仿宋_GBK"/>
                <w:lang w:val="en-US" w:eastAsia="zh-CN"/>
              </w:rPr>
              <w:t>3</w:t>
            </w:r>
            <w:r>
              <w:rPr>
                <w:rFonts w:hint="eastAsia" w:ascii="方正仿宋_GBK" w:hAnsi="方正仿宋_GBK" w:eastAsia="方正仿宋_GBK" w:cs="方正仿宋_GBK"/>
                <w:lang w:val="zh-CN"/>
              </w:rPr>
              <w:t>）</w:t>
            </w:r>
            <w:r>
              <w:rPr>
                <w:rFonts w:hint="eastAsia" w:ascii="方正仿宋_GBK" w:hAnsi="方正仿宋_GBK" w:eastAsia="方正仿宋_GBK" w:cs="方正仿宋_GBK"/>
                <w:color w:val="000000"/>
                <w:sz w:val="24"/>
                <w:szCs w:val="24"/>
              </w:rPr>
              <w:t>本项目采购的产品属于中国政府采购网公布的《无线局域网认证产品政府采购清单》的，当供应商的评审价相同时，优先采购其响应产品属于《无线局域网认证产品政府采购清单》内的产品，供应商在响应文件中提供该产品政府采购清单对应页并加盖供应商单位公章（鲜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2" w:type="dxa"/>
            <w:vAlign w:val="center"/>
          </w:tcPr>
          <w:p>
            <w:pPr>
              <w:pStyle w:val="22"/>
              <w:spacing w:line="500" w:lineRule="exact"/>
              <w:ind w:right="230"/>
              <w:jc w:val="center"/>
              <w:rPr>
                <w:rFonts w:hint="eastAsia" w:ascii="方正仿宋_GBK" w:hAnsi="方正仿宋_GBK" w:eastAsia="方正仿宋_GBK" w:cs="方正仿宋_GBK"/>
                <w:kern w:val="2"/>
                <w:lang w:val="en-US" w:eastAsia="zh-CN"/>
              </w:rPr>
            </w:pPr>
            <w:r>
              <w:rPr>
                <w:rFonts w:hint="eastAsia" w:ascii="方正仿宋_GBK" w:hAnsi="方正仿宋_GBK" w:eastAsia="方正仿宋_GBK" w:cs="方正仿宋_GBK"/>
                <w:kern w:val="2"/>
                <w:lang w:val="en-US" w:eastAsia="zh-CN"/>
              </w:rPr>
              <w:t>19</w:t>
            </w:r>
          </w:p>
        </w:tc>
        <w:tc>
          <w:tcPr>
            <w:tcW w:w="1996" w:type="dxa"/>
            <w:vAlign w:val="center"/>
          </w:tcPr>
          <w:p>
            <w:pPr>
              <w:tabs>
                <w:tab w:val="left" w:pos="700"/>
              </w:tabs>
              <w:autoSpaceDE w:val="0"/>
              <w:autoSpaceDN w:val="0"/>
              <w:adjustRightInd w:val="0"/>
              <w:spacing w:line="440" w:lineRule="exact"/>
              <w:ind w:left="210" w:leftChars="100"/>
              <w:jc w:val="left"/>
              <w:rPr>
                <w:rFonts w:hint="eastAsia" w:ascii="方正仿宋_GBK" w:hAnsi="方正仿宋_GBK" w:eastAsia="方正仿宋_GBK" w:cs="方正仿宋_GBK"/>
                <w:kern w:val="2"/>
                <w:szCs w:val="22"/>
                <w:lang w:eastAsia="zh-CN"/>
              </w:rPr>
            </w:pPr>
            <w:r>
              <w:rPr>
                <w:rFonts w:hint="eastAsia" w:ascii="方正仿宋_GBK" w:hAnsi="方正仿宋_GBK" w:eastAsia="方正仿宋_GBK" w:cs="方正仿宋_GBK"/>
                <w:kern w:val="2"/>
                <w:szCs w:val="22"/>
                <w:lang w:eastAsia="zh-CN"/>
              </w:rPr>
              <w:t>项目所属行业</w:t>
            </w:r>
          </w:p>
        </w:tc>
        <w:tc>
          <w:tcPr>
            <w:tcW w:w="6493" w:type="dxa"/>
            <w:vAlign w:val="center"/>
          </w:tcPr>
          <w:p>
            <w:pPr>
              <w:pStyle w:val="22"/>
              <w:spacing w:line="500" w:lineRule="exact"/>
              <w:ind w:left="210" w:leftChars="100"/>
              <w:jc w:val="both"/>
              <w:rPr>
                <w:rFonts w:hint="eastAsia" w:ascii="方正仿宋_GBK" w:hAnsi="方正仿宋_GBK" w:eastAsia="方正仿宋_GBK" w:cs="方正仿宋_GBK"/>
                <w:lang w:val="zh-CN"/>
              </w:rPr>
            </w:pPr>
            <w:r>
              <w:rPr>
                <w:rFonts w:hint="eastAsia" w:ascii="方正仿宋_GBK" w:hAnsi="方正仿宋_GBK" w:eastAsia="方正仿宋_GBK" w:cs="方正仿宋_GBK"/>
                <w:lang w:val="zh-CN"/>
              </w:rPr>
              <w:t>根据《关于印发中小企业划型标准规定的通知》（工信部联企业〔2011〕300号）划型标准，本项目采购内容的所属行业为“商务服务业”。</w:t>
            </w:r>
          </w:p>
        </w:tc>
      </w:tr>
    </w:tbl>
    <w:p>
      <w:pPr>
        <w:spacing w:line="500" w:lineRule="exact"/>
        <w:rPr>
          <w:rFonts w:hint="eastAsia" w:ascii="方正仿宋_GBK" w:hAnsi="方正仿宋_GBK" w:eastAsia="方正仿宋_GBK" w:cs="方正仿宋_GBK"/>
        </w:rPr>
      </w:pPr>
    </w:p>
    <w:p>
      <w:pPr>
        <w:pStyle w:val="3"/>
        <w:spacing w:before="0" w:after="0"/>
        <w:jc w:val="center"/>
        <w:rPr>
          <w:rFonts w:hint="eastAsia" w:ascii="方正仿宋_GBK" w:hAnsi="方正仿宋_GBK" w:eastAsia="方正仿宋_GBK" w:cs="方正仿宋_GBK"/>
          <w:bCs/>
          <w:sz w:val="28"/>
          <w:szCs w:val="28"/>
        </w:rPr>
      </w:pPr>
      <w:bookmarkStart w:id="71" w:name="_Toc15840"/>
      <w:bookmarkStart w:id="72" w:name="_Toc471310329"/>
      <w:bookmarkStart w:id="73" w:name="_Toc63765769"/>
      <w:bookmarkStart w:id="74" w:name="_Toc28100"/>
      <w:bookmarkStart w:id="75" w:name="_Toc6654"/>
      <w:r>
        <w:rPr>
          <w:rFonts w:hint="eastAsia" w:ascii="方正仿宋_GBK" w:hAnsi="方正仿宋_GBK" w:eastAsia="方正仿宋_GBK" w:cs="方正仿宋_GBK"/>
          <w:bCs/>
          <w:sz w:val="28"/>
          <w:szCs w:val="28"/>
        </w:rPr>
        <w:t>二、总则</w:t>
      </w:r>
      <w:bookmarkEnd w:id="71"/>
      <w:bookmarkEnd w:id="72"/>
      <w:bookmarkEnd w:id="73"/>
      <w:bookmarkEnd w:id="74"/>
      <w:bookmarkEnd w:id="75"/>
    </w:p>
    <w:p>
      <w:pPr>
        <w:pStyle w:val="5"/>
        <w:spacing w:before="0" w:after="0" w:line="500" w:lineRule="exact"/>
        <w:ind w:firstLine="562" w:firstLineChars="200"/>
        <w:rPr>
          <w:rFonts w:hint="eastAsia" w:ascii="方正仿宋_GBK" w:hAnsi="方正仿宋_GBK" w:eastAsia="方正仿宋_GBK" w:cs="方正仿宋_GBK"/>
          <w:sz w:val="28"/>
          <w:szCs w:val="28"/>
        </w:rPr>
      </w:pPr>
      <w:bookmarkStart w:id="76" w:name="_Toc389231700"/>
      <w:bookmarkStart w:id="77" w:name="_Toc217446034"/>
      <w:bookmarkStart w:id="78" w:name="_Toc229393330"/>
      <w:bookmarkStart w:id="79" w:name="_Toc240869992"/>
      <w:bookmarkStart w:id="80" w:name="_Toc63765770"/>
      <w:bookmarkStart w:id="81" w:name="_Toc241054964"/>
      <w:bookmarkStart w:id="82" w:name="_Toc307298419"/>
      <w:bookmarkStart w:id="83" w:name="_Toc255976221"/>
      <w:bookmarkStart w:id="84" w:name="_Toc439679215"/>
      <w:bookmarkStart w:id="85" w:name="_Toc229475717"/>
      <w:bookmarkStart w:id="86" w:name="_Toc389552482"/>
      <w:bookmarkStart w:id="87" w:name="_Toc306711377"/>
      <w:bookmarkStart w:id="88" w:name="_Toc441921237"/>
      <w:bookmarkStart w:id="89" w:name="_Toc315962967"/>
      <w:bookmarkStart w:id="90" w:name="_Toc229393498"/>
      <w:bookmarkStart w:id="91" w:name="_Toc241204365"/>
      <w:bookmarkStart w:id="92" w:name="_Toc229476046"/>
      <w:bookmarkStart w:id="93" w:name="_Toc2351"/>
      <w:bookmarkStart w:id="94" w:name="_Toc245441523"/>
      <w:bookmarkStart w:id="95" w:name="_Toc229393582"/>
      <w:bookmarkStart w:id="96" w:name="_Toc255896711"/>
      <w:bookmarkStart w:id="97" w:name="_Toc441679461"/>
      <w:bookmarkStart w:id="98" w:name="_Toc12104"/>
      <w:bookmarkStart w:id="99" w:name="_Toc229395167"/>
      <w:bookmarkStart w:id="100" w:name="_Toc390774248"/>
      <w:bookmarkStart w:id="101" w:name="_Toc442099349"/>
      <w:bookmarkStart w:id="102" w:name="_Toc471310330"/>
      <w:bookmarkStart w:id="103" w:name="_Toc255975659"/>
      <w:bookmarkStart w:id="104" w:name="_Toc22794"/>
      <w:r>
        <w:rPr>
          <w:rFonts w:hint="eastAsia" w:ascii="方正仿宋_GBK" w:hAnsi="方正仿宋_GBK" w:eastAsia="方正仿宋_GBK" w:cs="方正仿宋_GBK"/>
          <w:sz w:val="28"/>
          <w:szCs w:val="28"/>
        </w:rPr>
        <w:t>（一）适用范围</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tabs>
          <w:tab w:val="left" w:pos="7665"/>
        </w:tabs>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磋商文件仅适用于本次采购项目。</w:t>
      </w:r>
    </w:p>
    <w:p>
      <w:pPr>
        <w:pStyle w:val="5"/>
        <w:spacing w:before="0" w:after="0" w:line="500" w:lineRule="exact"/>
        <w:ind w:firstLine="562" w:firstLineChars="200"/>
        <w:rPr>
          <w:rFonts w:hint="eastAsia" w:ascii="方正仿宋_GBK" w:hAnsi="方正仿宋_GBK" w:eastAsia="方正仿宋_GBK" w:cs="方正仿宋_GBK"/>
          <w:sz w:val="28"/>
          <w:szCs w:val="28"/>
        </w:rPr>
      </w:pPr>
      <w:bookmarkStart w:id="105" w:name="_Toc63765771"/>
      <w:bookmarkStart w:id="106" w:name="_Toc12263"/>
      <w:bookmarkStart w:id="107" w:name="_Toc14198"/>
      <w:bookmarkStart w:id="108" w:name="_Toc18562"/>
      <w:r>
        <w:rPr>
          <w:rFonts w:hint="eastAsia" w:ascii="方正仿宋_GBK" w:hAnsi="方正仿宋_GBK" w:eastAsia="方正仿宋_GBK" w:cs="方正仿宋_GBK"/>
          <w:sz w:val="28"/>
          <w:szCs w:val="28"/>
        </w:rPr>
        <w:t>（二）有关定义</w:t>
      </w:r>
      <w:bookmarkEnd w:id="105"/>
      <w:bookmarkEnd w:id="106"/>
      <w:bookmarkEnd w:id="107"/>
      <w:bookmarkEnd w:id="108"/>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1.“采购人”系指依法进行政府采购的国家机关、事业单位、团体组织。本次磋商的采购人是</w:t>
      </w:r>
      <w:bookmarkStart w:id="109" w:name="【Bobole_采购单位名称_2】"/>
      <w:r>
        <w:rPr>
          <w:rFonts w:hint="eastAsia" w:ascii="方正仿宋_GBK" w:hAnsi="方正仿宋_GBK" w:eastAsia="方正仿宋_GBK" w:cs="方正仿宋_GBK"/>
          <w:sz w:val="28"/>
          <w:szCs w:val="28"/>
        </w:rPr>
        <w:t>四川巴中经济开发区管理委员会</w:t>
      </w:r>
      <w:bookmarkEnd w:id="109"/>
      <w:r>
        <w:rPr>
          <w:rFonts w:hint="eastAsia" w:ascii="方正仿宋_GBK" w:hAnsi="方正仿宋_GBK" w:eastAsia="方正仿宋_GBK" w:cs="方正仿宋_GBK"/>
          <w:sz w:val="28"/>
          <w:szCs w:val="28"/>
        </w:rPr>
        <w:t>。</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2.“采购代理机构”系指根据采购人的委托依法办理招标采购事宜的采购机构。本次磋商的采购代理机构为</w:t>
      </w:r>
      <w:bookmarkStart w:id="110" w:name="【Bobole_代理机构名称_3】"/>
      <w:r>
        <w:rPr>
          <w:rFonts w:hint="eastAsia" w:ascii="方正仿宋_GBK" w:hAnsi="方正仿宋_GBK" w:eastAsia="方正仿宋_GBK" w:cs="方正仿宋_GBK"/>
          <w:sz w:val="28"/>
          <w:szCs w:val="28"/>
        </w:rPr>
        <w:t>四川振嘉工程招标代理有限公司</w:t>
      </w:r>
      <w:bookmarkEnd w:id="110"/>
      <w:r>
        <w:rPr>
          <w:rFonts w:hint="eastAsia" w:ascii="方正仿宋_GBK" w:hAnsi="方正仿宋_GBK" w:eastAsia="方正仿宋_GBK" w:cs="方正仿宋_GBK"/>
          <w:sz w:val="28"/>
          <w:szCs w:val="28"/>
        </w:rPr>
        <w:t>。</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3.“采购组织单位”系指“采购人”和“采购代理机构”的统称。</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4.“供应商”系指按照规定获取了磋商文件拟参加磋商和向采购人提供货物及相应服务的供应商。</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5.“供应商代表”，是指供应商是自然人时的自然人本人，供应商是法人时的法定代表人或其授权代表，供应商是其他组织时的组织负责人或其授权代表。</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6.“签章”，是指使用数字证书的电子印章进行盖章。</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Style w:val="5"/>
        <w:spacing w:before="0" w:after="0" w:line="500" w:lineRule="exact"/>
        <w:ind w:firstLine="562" w:firstLineChars="200"/>
        <w:rPr>
          <w:rFonts w:hint="eastAsia" w:ascii="方正仿宋_GBK" w:hAnsi="方正仿宋_GBK" w:eastAsia="方正仿宋_GBK" w:cs="方正仿宋_GBK"/>
          <w:sz w:val="28"/>
          <w:szCs w:val="36"/>
        </w:rPr>
      </w:pPr>
      <w:bookmarkStart w:id="111" w:name="_Toc11145"/>
      <w:bookmarkStart w:id="112" w:name="_Toc63765772"/>
      <w:bookmarkStart w:id="113" w:name="_Toc28657"/>
      <w:bookmarkStart w:id="114" w:name="_Toc14322"/>
      <w:r>
        <w:rPr>
          <w:rFonts w:hint="eastAsia" w:ascii="方正仿宋_GBK" w:hAnsi="方正仿宋_GBK" w:eastAsia="方正仿宋_GBK" w:cs="方正仿宋_GBK"/>
          <w:sz w:val="28"/>
          <w:szCs w:val="36"/>
        </w:rPr>
        <w:t>（三）合格的供应商</w:t>
      </w:r>
      <w:bookmarkEnd w:id="111"/>
      <w:bookmarkEnd w:id="112"/>
      <w:bookmarkEnd w:id="113"/>
      <w:bookmarkEnd w:id="114"/>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合格的供应商应具备以下条件：</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1.遵守国家有关的法律、法规、规章和其他政策制度；</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2.符合磋商文件第一章第四条规定的条件；</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3.按照磋商文件第一章第六条的规定获取了采购文件。</w:t>
      </w:r>
    </w:p>
    <w:p>
      <w:pPr>
        <w:pStyle w:val="5"/>
        <w:spacing w:before="0" w:after="0" w:line="500" w:lineRule="exact"/>
        <w:ind w:firstLine="562" w:firstLineChars="200"/>
        <w:rPr>
          <w:rFonts w:hint="eastAsia" w:ascii="方正仿宋_GBK" w:hAnsi="方正仿宋_GBK" w:eastAsia="方正仿宋_GBK" w:cs="方正仿宋_GBK"/>
          <w:sz w:val="28"/>
          <w:szCs w:val="36"/>
        </w:rPr>
      </w:pPr>
      <w:bookmarkStart w:id="115" w:name="_Toc6451"/>
      <w:bookmarkStart w:id="116" w:name="_Toc63765773"/>
      <w:bookmarkStart w:id="117" w:name="_Toc24802"/>
      <w:bookmarkStart w:id="118" w:name="_Toc9481"/>
      <w:r>
        <w:rPr>
          <w:rFonts w:hint="eastAsia" w:ascii="方正仿宋_GBK" w:hAnsi="方正仿宋_GBK" w:eastAsia="方正仿宋_GBK" w:cs="方正仿宋_GBK"/>
          <w:sz w:val="28"/>
          <w:szCs w:val="36"/>
        </w:rPr>
        <w:t>（四）参与政府采购活动的费用</w:t>
      </w:r>
      <w:bookmarkEnd w:id="115"/>
      <w:bookmarkEnd w:id="116"/>
      <w:bookmarkEnd w:id="117"/>
      <w:bookmarkEnd w:id="118"/>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供应商参加竞争性磋商采购活动的一切费用由供应商自行承担。</w:t>
      </w:r>
    </w:p>
    <w:p>
      <w:pPr>
        <w:pStyle w:val="5"/>
        <w:spacing w:before="0" w:after="0" w:line="500" w:lineRule="exact"/>
        <w:ind w:firstLine="562" w:firstLineChars="200"/>
        <w:rPr>
          <w:rFonts w:hint="eastAsia" w:ascii="方正仿宋_GBK" w:hAnsi="方正仿宋_GBK" w:eastAsia="方正仿宋_GBK" w:cs="方正仿宋_GBK"/>
          <w:sz w:val="28"/>
          <w:szCs w:val="36"/>
        </w:rPr>
      </w:pPr>
      <w:bookmarkStart w:id="119" w:name="_Toc24249"/>
      <w:bookmarkStart w:id="120" w:name="_Toc22168"/>
      <w:bookmarkStart w:id="121" w:name="_Toc63765774"/>
      <w:bookmarkStart w:id="122" w:name="_Toc3263"/>
      <w:r>
        <w:rPr>
          <w:rFonts w:hint="eastAsia" w:ascii="方正仿宋_GBK" w:hAnsi="方正仿宋_GBK" w:eastAsia="方正仿宋_GBK" w:cs="方正仿宋_GBK"/>
          <w:sz w:val="28"/>
          <w:szCs w:val="36"/>
        </w:rPr>
        <w:t>（五）充分、公平竞争保障措施</w:t>
      </w:r>
      <w:bookmarkEnd w:id="119"/>
      <w:bookmarkEnd w:id="120"/>
      <w:bookmarkEnd w:id="121"/>
      <w:bookmarkEnd w:id="122"/>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1.提供相同品牌产品处理</w:t>
      </w:r>
    </w:p>
    <w:p>
      <w:pPr>
        <w:spacing w:line="500" w:lineRule="exact"/>
        <w:ind w:firstLine="560"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sz w:val="28"/>
          <w:szCs w:val="28"/>
        </w:rPr>
        <w:t>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2.利害关系供应商处理。单位负责人为同一人或者存在直接控股、管理关系的不同供应商，不得参加同一合同项下的政府采购活动，否则，其响应文件作为无效处理。</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3.利害关系授权代表处理。两家以上的供应商不得在同一合同项下的采购项目中，委托同一个自然人、同一家庭的人员、同一单位的人员作为其授权代表，否则，其响应文件作为无效处理。</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5.回避。政府采购活动中，采购人员及相关人员与供应商有下列利害关系之一的，应当回避：</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（1）参加采购活动前3年内与供应商存在劳动关系；</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（2）参加采购活动前3年内担任供应商的董事、监事；</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（3）参加采购活动前3年内是供应商的控股股东或者实际控制人；</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（4）与供应商的法定代表人或者负责人有夫妻、直系血亲、三代以内旁系血亲或者近姻亲关系；</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（5）与供应商有其他可能影响政府采购活动公平、公正进行的关系。</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上述“采购人员”是指采购人内部负责采购项目的具体经办工作人员和直接分管采购项目的负责人，以及采购代理机构负责采购项目的具体经办工作人员和直接分管采购活动的负责人。上述“相关人员”是指磋商小组成员。</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5"/>
        <w:numPr>
          <w:ilvl w:val="0"/>
          <w:numId w:val="3"/>
        </w:numPr>
        <w:spacing w:before="0" w:after="0" w:line="500" w:lineRule="exact"/>
        <w:ind w:firstLine="562" w:firstLineChars="200"/>
        <w:rPr>
          <w:rFonts w:hint="eastAsia"/>
        </w:rPr>
      </w:pPr>
      <w:bookmarkStart w:id="123" w:name="_Toc63765775"/>
      <w:bookmarkStart w:id="124" w:name="_Toc4615"/>
      <w:bookmarkStart w:id="125" w:name="_Toc5322"/>
      <w:bookmarkStart w:id="126" w:name="_Toc25880"/>
      <w:r>
        <w:rPr>
          <w:rFonts w:hint="eastAsia" w:ascii="方正仿宋_GBK" w:hAnsi="方正仿宋_GBK" w:eastAsia="方正仿宋_GBK" w:cs="方正仿宋_GBK"/>
          <w:sz w:val="28"/>
          <w:szCs w:val="36"/>
        </w:rPr>
        <w:t>中小企业优惠政策</w:t>
      </w:r>
      <w:bookmarkEnd w:id="123"/>
      <w:bookmarkEnd w:id="124"/>
      <w:bookmarkEnd w:id="125"/>
      <w:bookmarkEnd w:id="126"/>
    </w:p>
    <w:p>
      <w:pPr>
        <w:spacing w:line="440" w:lineRule="exact"/>
        <w:ind w:firstLine="562" w:firstLineChars="200"/>
        <w:rPr>
          <w:rFonts w:eastAsia="仿宋"/>
          <w:b/>
          <w:bCs/>
          <w:sz w:val="28"/>
          <w:szCs w:val="28"/>
        </w:rPr>
      </w:pPr>
      <w:r>
        <w:rPr>
          <w:rFonts w:ascii="Wingdings 2" w:hAnsi="Wingdings 2" w:eastAsia="仿宋"/>
          <w:b/>
          <w:bCs/>
          <w:sz w:val="28"/>
          <w:szCs w:val="28"/>
        </w:rPr>
        <w:t>R</w:t>
      </w:r>
      <w:r>
        <w:rPr>
          <w:rFonts w:hint="eastAsia" w:eastAsia="仿宋"/>
          <w:b/>
          <w:bCs/>
          <w:sz w:val="28"/>
          <w:szCs w:val="28"/>
        </w:rPr>
        <w:t>1.专门面向中小企业采购项目不再进行价格扣除。</w:t>
      </w:r>
    </w:p>
    <w:p>
      <w:pPr>
        <w:spacing w:line="440" w:lineRule="exact"/>
        <w:ind w:firstLine="560" w:firstLineChars="200"/>
        <w:rPr>
          <w:rFonts w:eastAsia="仿宋"/>
          <w:sz w:val="28"/>
          <w:szCs w:val="28"/>
        </w:rPr>
      </w:pPr>
      <w:r>
        <w:rPr>
          <w:rFonts w:ascii="Wingdings 2" w:hAnsi="Wingdings 2" w:eastAsia="仿宋"/>
          <w:sz w:val="28"/>
          <w:szCs w:val="28"/>
        </w:rPr>
        <w:t>£</w:t>
      </w:r>
      <w:r>
        <w:rPr>
          <w:rFonts w:hint="eastAsia" w:eastAsia="仿宋"/>
          <w:sz w:val="28"/>
          <w:szCs w:val="28"/>
        </w:rPr>
        <w:t>2.非专门面向中小企业采购项目按以下情形进行价格扣除。</w:t>
      </w:r>
    </w:p>
    <w:p>
      <w:pPr>
        <w:spacing w:line="440" w:lineRule="exact"/>
        <w:ind w:firstLine="560" w:firstLineChars="200"/>
        <w:rPr>
          <w:rFonts w:hint="eastAsia" w:ascii="方正仿宋_GBK" w:hAnsi="方正仿宋_GBK" w:eastAsia="方正仿宋_GBK" w:cs="方正仿宋_GBK"/>
          <w:sz w:val="28"/>
          <w:szCs w:val="28"/>
        </w:rPr>
      </w:pPr>
      <w:r>
        <w:rPr>
          <w:rFonts w:hint="eastAsia" w:eastAsia="仿宋"/>
          <w:sz w:val="28"/>
          <w:szCs w:val="28"/>
        </w:rPr>
        <w:t>对于经主管预算单位统筹后未预留份额专门面向中小企业采购的采购项目，以及预留份额项目中的非预留部分采购包，对符合《政府采购促进中小企业发展管理办法》（财库〔2020〕46号）规定的小微企业报价给予10%的扣除，用扣除后的价格参加评审；专门面向中小企</w:t>
      </w:r>
      <w:r>
        <w:rPr>
          <w:rFonts w:hint="eastAsia" w:ascii="方正仿宋_GBK" w:hAnsi="方正仿宋_GBK" w:eastAsia="方正仿宋_GBK" w:cs="方正仿宋_GBK"/>
          <w:sz w:val="28"/>
          <w:szCs w:val="28"/>
        </w:rPr>
        <w:t>业采购的项目不再进行价格扣除。</w:t>
      </w:r>
    </w:p>
    <w:p>
      <w:pPr>
        <w:numPr>
          <w:ilvl w:val="0"/>
          <w:numId w:val="4"/>
        </w:numPr>
        <w:spacing w:line="44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供应商提供声明函内容不实的，属于提供虚假材料谋取中标、成交，将依照《中华人民共和国政府采购法》等法律法规追究相应责任。</w:t>
      </w:r>
    </w:p>
    <w:p>
      <w:pPr>
        <w:pStyle w:val="5"/>
        <w:spacing w:before="0" w:after="0" w:line="440" w:lineRule="exact"/>
        <w:ind w:firstLine="562" w:firstLineChars="200"/>
        <w:rPr>
          <w:rFonts w:hint="eastAsia" w:ascii="方正仿宋_GBK" w:hAnsi="方正仿宋_GBK" w:eastAsia="方正仿宋_GBK" w:cs="方正仿宋_GBK"/>
          <w:sz w:val="28"/>
          <w:szCs w:val="28"/>
        </w:rPr>
      </w:pPr>
      <w:bookmarkStart w:id="127" w:name="_Toc256000180"/>
      <w:bookmarkStart w:id="128" w:name="_Toc81387761"/>
      <w:bookmarkStart w:id="129" w:name="_Toc256000078"/>
      <w:bookmarkStart w:id="130" w:name="_Toc256000139"/>
      <w:bookmarkStart w:id="131" w:name="_Toc20841"/>
      <w:bookmarkStart w:id="132" w:name="_Toc7723"/>
      <w:bookmarkStart w:id="133" w:name="_Toc6220"/>
      <w:r>
        <w:rPr>
          <w:rFonts w:hint="eastAsia" w:ascii="方正仿宋_GBK" w:hAnsi="方正仿宋_GBK" w:eastAsia="方正仿宋_GBK" w:cs="方正仿宋_GBK"/>
          <w:sz w:val="28"/>
          <w:szCs w:val="28"/>
        </w:rPr>
        <w:t>（七）环保节能产品政策</w:t>
      </w:r>
      <w:bookmarkEnd w:id="127"/>
      <w:bookmarkEnd w:id="128"/>
      <w:bookmarkEnd w:id="129"/>
      <w:bookmarkEnd w:id="130"/>
      <w:bookmarkEnd w:id="131"/>
      <w:bookmarkEnd w:id="132"/>
      <w:bookmarkEnd w:id="133"/>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1.按照《财政部发展改革委生态环境部市场监管总局关于调整优化节能产品、环境标志产品政府采购执行机制的通知》（财库〔2019〕9号）文件规定执行。依据品目清单和认证证书实施政府优先采购和强制采购。</w:t>
      </w:r>
    </w:p>
    <w:p>
      <w:pPr>
        <w:spacing w:line="500" w:lineRule="exact"/>
        <w:ind w:firstLine="560" w:firstLineChars="200"/>
        <w:rPr>
          <w:rFonts w:hint="eastAsia" w:ascii="方正仿宋_GBK" w:hAnsi="方正仿宋_GBK" w:eastAsia="方正仿宋_GBK" w:cs="方正仿宋_GBK"/>
          <w:sz w:val="28"/>
          <w:szCs w:val="28"/>
        </w:rPr>
      </w:pPr>
      <w:bookmarkStart w:id="134" w:name="_Toc256000076"/>
      <w:r>
        <w:rPr>
          <w:rFonts w:hint="eastAsia" w:ascii="方正仿宋_GBK" w:hAnsi="方正仿宋_GBK" w:eastAsia="方正仿宋_GBK" w:cs="方正仿宋_GBK"/>
          <w:sz w:val="28"/>
          <w:szCs w:val="28"/>
        </w:rPr>
        <w:t>2.采购人拟采购的产品属于《环境标志产品政府采购品目清单》（财库〔2019〕18号）和《节能产品政府采购品目清单》（财库〔2019〕19号）清单范围的，采购人及其委托的采购代理机构应当依据市场监管总局发布的《市场监管总局关于发布参与实施政府采购节能产品、环境标志产品认证机构名录的公告》（2019年第16号）名单内的认证机构出具的处于有效期之内的节能产品、环境标志产品认证证书，对获得证书的产品实施政府优先采购或强制采购。</w:t>
      </w:r>
      <w:bookmarkEnd w:id="134"/>
    </w:p>
    <w:p>
      <w:pPr>
        <w:spacing w:line="44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（1）采购人拟采购的产品属于强制采购品目的，供应商必须提供强制采购品目内的产品。</w:t>
      </w:r>
    </w:p>
    <w:p>
      <w:pPr>
        <w:spacing w:line="44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（2）采购人拟采购的产品属于优先采购品目的，环保节能品目内产品报价不高于品目外产品报价的3%，将优先采购环保节能产品。</w:t>
      </w:r>
    </w:p>
    <w:p>
      <w:pPr>
        <w:spacing w:line="44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注：以中国政府采购网（www.ccgp.gov.cn）信息查询结果为准。</w:t>
      </w:r>
    </w:p>
    <w:p>
      <w:pPr>
        <w:pStyle w:val="3"/>
        <w:spacing w:before="0" w:after="0"/>
        <w:jc w:val="center"/>
        <w:rPr>
          <w:rFonts w:hint="eastAsia" w:ascii="方正仿宋_GBK" w:hAnsi="方正仿宋_GBK" w:eastAsia="方正仿宋_GBK" w:cs="方正仿宋_GBK"/>
          <w:bCs/>
          <w:sz w:val="32"/>
          <w:szCs w:val="21"/>
        </w:rPr>
      </w:pPr>
      <w:bookmarkStart w:id="135" w:name="_Toc30300"/>
      <w:bookmarkStart w:id="136" w:name="_Toc12932"/>
      <w:bookmarkStart w:id="137" w:name="_Toc18915"/>
      <w:r>
        <w:rPr>
          <w:rFonts w:hint="eastAsia" w:ascii="方正仿宋_GBK" w:hAnsi="方正仿宋_GBK" w:eastAsia="方正仿宋_GBK" w:cs="方正仿宋_GBK"/>
          <w:bCs/>
          <w:sz w:val="32"/>
          <w:szCs w:val="21"/>
        </w:rPr>
        <w:t>三、磋商文件</w:t>
      </w:r>
      <w:bookmarkEnd w:id="135"/>
      <w:bookmarkEnd w:id="136"/>
      <w:bookmarkEnd w:id="137"/>
    </w:p>
    <w:p>
      <w:pPr>
        <w:pStyle w:val="5"/>
        <w:spacing w:before="0" w:after="0" w:line="500" w:lineRule="exact"/>
        <w:ind w:firstLine="562" w:firstLineChars="200"/>
        <w:rPr>
          <w:rFonts w:hint="eastAsia" w:ascii="方正仿宋_GBK" w:hAnsi="方正仿宋_GBK" w:eastAsia="方正仿宋_GBK" w:cs="方正仿宋_GBK"/>
          <w:sz w:val="28"/>
          <w:szCs w:val="36"/>
        </w:rPr>
      </w:pPr>
      <w:bookmarkStart w:id="138" w:name="_Toc30145"/>
      <w:bookmarkStart w:id="139" w:name="_Toc63765776"/>
      <w:bookmarkStart w:id="140" w:name="_Toc2648"/>
      <w:bookmarkStart w:id="141" w:name="_Toc5047"/>
      <w:r>
        <w:rPr>
          <w:rFonts w:hint="eastAsia" w:ascii="方正仿宋_GBK" w:hAnsi="方正仿宋_GBK" w:eastAsia="方正仿宋_GBK" w:cs="方正仿宋_GBK"/>
          <w:sz w:val="28"/>
          <w:szCs w:val="36"/>
        </w:rPr>
        <w:t>（一）磋商文件的构成</w:t>
      </w:r>
      <w:bookmarkEnd w:id="138"/>
      <w:bookmarkEnd w:id="139"/>
      <w:bookmarkEnd w:id="140"/>
      <w:bookmarkEnd w:id="141"/>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磋商文件是供应商准备响应文件和参加磋商的依据，是评审的重要依据，具有准法律文件性质。磋商文件用以阐明磋商项目所需的资质、技术、服务及报价等要求、磋商程序、有关规定和注意事项以及合同主要条款等。磋商文件包括以下内容：</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（1）磋商邀请；</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（2）磋商须知；</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（3）资格条件要求及应当提供的资格证明材料；</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（4）采购需求及其技术、服务和其他</w:t>
      </w:r>
      <w:r>
        <w:rPr>
          <w:rFonts w:hint="eastAsia" w:ascii="方正仿宋_GBK" w:hAnsi="方正仿宋_GBK" w:eastAsia="方正仿宋_GBK" w:cs="方正仿宋_GBK"/>
          <w:sz w:val="28"/>
          <w:szCs w:val="28"/>
          <w:lang w:eastAsia="zh-CN"/>
        </w:rPr>
        <w:t>商务</w:t>
      </w:r>
      <w:r>
        <w:rPr>
          <w:rFonts w:hint="eastAsia" w:ascii="方正仿宋_GBK" w:hAnsi="方正仿宋_GBK" w:eastAsia="方正仿宋_GBK" w:cs="方正仿宋_GBK"/>
          <w:sz w:val="28"/>
          <w:szCs w:val="28"/>
        </w:rPr>
        <w:t>要求；</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（5）供应商响应文件相关文书格式； </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（6）磋商程序和成交标准；</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（7）政府采购合同。</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供应商应认真阅读和充分理解磋商文件中所有的事项、格式条款和规范要求。供应商没有对磋商文件全面作出实质性响应是供应商的风险。没有按照磋商文件要求作出实质性响应的响应文件将被拒绝或作无效处理。</w:t>
      </w:r>
    </w:p>
    <w:p>
      <w:pPr>
        <w:spacing w:line="500" w:lineRule="exact"/>
        <w:ind w:firstLine="562" w:firstLineChars="200"/>
        <w:rPr>
          <w:rFonts w:hint="eastAsia" w:ascii="方正仿宋_GBK" w:hAnsi="方正仿宋_GBK" w:eastAsia="方正仿宋_GBK" w:cs="方正仿宋_GBK"/>
          <w:b/>
          <w:bCs/>
          <w:sz w:val="28"/>
          <w:szCs w:val="28"/>
        </w:rPr>
      </w:pPr>
      <w:bookmarkStart w:id="142" w:name="_Toc63765777"/>
      <w:r>
        <w:rPr>
          <w:rFonts w:hint="eastAsia" w:ascii="方正仿宋_GBK" w:hAnsi="方正仿宋_GBK" w:eastAsia="方正仿宋_GBK" w:cs="方正仿宋_GBK"/>
          <w:b/>
          <w:bCs/>
          <w:sz w:val="28"/>
          <w:szCs w:val="28"/>
        </w:rPr>
        <w:t>（二）磋商文件的澄清和修改</w:t>
      </w:r>
      <w:bookmarkEnd w:id="142"/>
    </w:p>
    <w:p>
      <w:pPr>
        <w:spacing w:line="500" w:lineRule="exact"/>
        <w:ind w:firstLine="560" w:firstLineChars="200"/>
        <w:rPr>
          <w:rFonts w:hint="eastAsia" w:ascii="方正仿宋_GBK" w:hAnsi="方正仿宋_GBK" w:eastAsia="方正仿宋_GBK" w:cs="方正仿宋_GBK"/>
          <w:sz w:val="28"/>
          <w:szCs w:val="28"/>
        </w:rPr>
      </w:pPr>
      <w:bookmarkStart w:id="143" w:name="_Toc63765778"/>
      <w:r>
        <w:rPr>
          <w:rFonts w:hint="eastAsia" w:ascii="方正仿宋_GBK" w:hAnsi="方正仿宋_GBK" w:eastAsia="方正仿宋_GBK" w:cs="方正仿宋_GBK"/>
          <w:sz w:val="28"/>
          <w:szCs w:val="28"/>
        </w:rPr>
        <w:t>1.采购组织单位可以对已发出的磋商文件进行澄清或者修改。澄清或者修改的内容可能影响响应文件编制的，采购组织单位将在提交首次响应文件的截止时间5日前进行，通过四川政府采购网和巴中市政府采购网发布更正公告，该澄清或者修改的内容为磋商文件的组成部分。</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在提交首次响应文件的截止时间前，采购组织单位可以视采购具体情况，延长提交首次响应文件的截止时间，并在磋商文件要求的提交首次响应文件的截止时间5日前，通过四川政府采购网和巴中市政府采购网发布更正公告。</w:t>
      </w:r>
    </w:p>
    <w:p>
      <w:pPr>
        <w:pStyle w:val="5"/>
        <w:spacing w:before="0" w:after="0" w:line="500" w:lineRule="exact"/>
        <w:ind w:firstLine="562" w:firstLineChars="200"/>
        <w:rPr>
          <w:rFonts w:hint="eastAsia" w:ascii="方正仿宋_GBK" w:hAnsi="方正仿宋_GBK" w:eastAsia="方正仿宋_GBK" w:cs="方正仿宋_GBK"/>
          <w:sz w:val="28"/>
          <w:szCs w:val="36"/>
        </w:rPr>
      </w:pPr>
      <w:bookmarkStart w:id="144" w:name="_Toc28865"/>
      <w:bookmarkStart w:id="145" w:name="_Toc18098"/>
      <w:bookmarkStart w:id="146" w:name="_Toc6625"/>
      <w:r>
        <w:rPr>
          <w:rFonts w:hint="eastAsia" w:ascii="方正仿宋_GBK" w:hAnsi="方正仿宋_GBK" w:eastAsia="方正仿宋_GBK" w:cs="方正仿宋_GBK"/>
          <w:sz w:val="28"/>
          <w:szCs w:val="36"/>
        </w:rPr>
        <w:t>（三）其他</w:t>
      </w:r>
      <w:bookmarkEnd w:id="143"/>
      <w:bookmarkEnd w:id="144"/>
      <w:bookmarkEnd w:id="145"/>
      <w:bookmarkEnd w:id="146"/>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1.本文件所称的“以上”、“以下”、“内”、“以内”，包括本数；所称的“不足”，不包括本数。</w:t>
      </w:r>
    </w:p>
    <w:p>
      <w:pPr>
        <w:pStyle w:val="3"/>
        <w:spacing w:before="0" w:after="0"/>
        <w:jc w:val="center"/>
        <w:rPr>
          <w:rFonts w:hint="eastAsia" w:ascii="方正仿宋_GBK" w:hAnsi="方正仿宋_GBK" w:eastAsia="方正仿宋_GBK" w:cs="方正仿宋_GBK"/>
          <w:bCs/>
        </w:rPr>
      </w:pPr>
      <w:bookmarkStart w:id="147" w:name="_Toc63765779"/>
      <w:bookmarkStart w:id="148" w:name="_Toc2147"/>
      <w:bookmarkStart w:id="149" w:name="_Toc32466"/>
      <w:bookmarkStart w:id="150" w:name="_Toc7716"/>
      <w:r>
        <w:rPr>
          <w:rFonts w:hint="eastAsia" w:ascii="方正仿宋_GBK" w:hAnsi="方正仿宋_GBK" w:eastAsia="方正仿宋_GBK" w:cs="方正仿宋_GBK"/>
          <w:bCs/>
        </w:rPr>
        <w:t>四、响应文件</w:t>
      </w:r>
      <w:bookmarkEnd w:id="147"/>
      <w:bookmarkEnd w:id="148"/>
      <w:bookmarkEnd w:id="149"/>
      <w:bookmarkEnd w:id="150"/>
    </w:p>
    <w:p>
      <w:pPr>
        <w:pStyle w:val="5"/>
        <w:spacing w:before="0" w:after="0" w:line="500" w:lineRule="exact"/>
        <w:ind w:firstLine="562" w:firstLineChars="200"/>
        <w:rPr>
          <w:rFonts w:hint="eastAsia" w:ascii="方正仿宋_GBK" w:hAnsi="方正仿宋_GBK" w:eastAsia="方正仿宋_GBK" w:cs="方正仿宋_GBK"/>
          <w:sz w:val="28"/>
          <w:szCs w:val="36"/>
        </w:rPr>
      </w:pPr>
      <w:bookmarkStart w:id="151" w:name="_Toc9435"/>
      <w:bookmarkStart w:id="152" w:name="_Toc63765780"/>
      <w:bookmarkStart w:id="153" w:name="_Toc2824"/>
      <w:bookmarkStart w:id="154" w:name="_Toc18438"/>
      <w:r>
        <w:rPr>
          <w:rFonts w:hint="eastAsia" w:ascii="方正仿宋_GBK" w:hAnsi="方正仿宋_GBK" w:eastAsia="方正仿宋_GBK" w:cs="方正仿宋_GBK"/>
          <w:sz w:val="28"/>
          <w:szCs w:val="36"/>
        </w:rPr>
        <w:t>（一）响应文件的语言</w:t>
      </w:r>
      <w:bookmarkEnd w:id="151"/>
      <w:bookmarkEnd w:id="152"/>
      <w:bookmarkEnd w:id="153"/>
      <w:bookmarkEnd w:id="154"/>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供应商提交的响应文件以及供应商与采购单位就有关磋商的所有来往书面文件均应使用中文。响应文件中如附有外文资料，应当逐一对应翻译成中文并加盖供应商公章后附在相关外文资料后面，否则按无效响应处理。</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2.翻译的中文资料与外文资料如果出现差异和矛盾时，以中文为准。但不能故意错误翻译，否则按无效响应处理。</w:t>
      </w:r>
    </w:p>
    <w:p>
      <w:pPr>
        <w:pStyle w:val="5"/>
        <w:spacing w:before="0" w:after="0" w:line="500" w:lineRule="exact"/>
        <w:ind w:firstLine="562" w:firstLineChars="200"/>
        <w:rPr>
          <w:rFonts w:hint="eastAsia" w:ascii="方正仿宋_GBK" w:hAnsi="方正仿宋_GBK" w:eastAsia="方正仿宋_GBK" w:cs="方正仿宋_GBK"/>
          <w:sz w:val="28"/>
          <w:szCs w:val="36"/>
        </w:rPr>
      </w:pPr>
      <w:bookmarkStart w:id="155" w:name="_Toc63765781"/>
      <w:bookmarkStart w:id="156" w:name="_Toc17841"/>
      <w:bookmarkStart w:id="157" w:name="_Toc15404"/>
      <w:bookmarkStart w:id="158" w:name="_Toc30098"/>
      <w:r>
        <w:rPr>
          <w:rFonts w:hint="eastAsia" w:ascii="方正仿宋_GBK" w:hAnsi="方正仿宋_GBK" w:eastAsia="方正仿宋_GBK" w:cs="方正仿宋_GBK"/>
          <w:sz w:val="28"/>
          <w:szCs w:val="36"/>
        </w:rPr>
        <w:t>（二）计量单位</w:t>
      </w:r>
      <w:bookmarkEnd w:id="155"/>
      <w:bookmarkEnd w:id="156"/>
      <w:bookmarkEnd w:id="157"/>
      <w:bookmarkEnd w:id="158"/>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除技术规格及要求中另有规定外，本次采购均采用国家法定的计量单位。</w:t>
      </w:r>
    </w:p>
    <w:p>
      <w:pPr>
        <w:pStyle w:val="5"/>
        <w:spacing w:before="0" w:after="0" w:line="500" w:lineRule="exact"/>
        <w:ind w:firstLine="562" w:firstLineChars="200"/>
        <w:rPr>
          <w:rFonts w:hint="eastAsia" w:ascii="方正仿宋_GBK" w:hAnsi="方正仿宋_GBK" w:eastAsia="方正仿宋_GBK" w:cs="方正仿宋_GBK"/>
          <w:sz w:val="28"/>
          <w:szCs w:val="36"/>
        </w:rPr>
      </w:pPr>
      <w:bookmarkStart w:id="159" w:name="_Toc28615"/>
      <w:bookmarkStart w:id="160" w:name="_Toc31862"/>
      <w:bookmarkStart w:id="161" w:name="_Toc63765782"/>
      <w:bookmarkStart w:id="162" w:name="_Toc15817"/>
      <w:r>
        <w:rPr>
          <w:rFonts w:hint="eastAsia" w:ascii="方正仿宋_GBK" w:hAnsi="方正仿宋_GBK" w:eastAsia="方正仿宋_GBK" w:cs="方正仿宋_GBK"/>
          <w:sz w:val="28"/>
          <w:szCs w:val="36"/>
        </w:rPr>
        <w:t>（三）投标货币</w:t>
      </w:r>
      <w:bookmarkEnd w:id="159"/>
      <w:bookmarkEnd w:id="160"/>
      <w:bookmarkEnd w:id="161"/>
      <w:bookmarkEnd w:id="162"/>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本次采购项目以人民币报价。</w:t>
      </w:r>
    </w:p>
    <w:p>
      <w:pPr>
        <w:pStyle w:val="5"/>
        <w:spacing w:before="0" w:after="0" w:line="500" w:lineRule="exact"/>
        <w:ind w:firstLine="562" w:firstLineChars="200"/>
        <w:rPr>
          <w:rFonts w:hint="eastAsia" w:ascii="方正仿宋_GBK" w:hAnsi="方正仿宋_GBK" w:eastAsia="方正仿宋_GBK" w:cs="方正仿宋_GBK"/>
          <w:sz w:val="28"/>
          <w:szCs w:val="36"/>
        </w:rPr>
      </w:pPr>
      <w:bookmarkStart w:id="163" w:name="_Toc932"/>
      <w:bookmarkStart w:id="164" w:name="_Toc15213"/>
      <w:bookmarkStart w:id="165" w:name="_Toc63765783"/>
      <w:bookmarkStart w:id="166" w:name="_Toc15172"/>
      <w:r>
        <w:rPr>
          <w:rFonts w:hint="eastAsia" w:ascii="方正仿宋_GBK" w:hAnsi="方正仿宋_GBK" w:eastAsia="方正仿宋_GBK" w:cs="方正仿宋_GBK"/>
          <w:sz w:val="28"/>
          <w:szCs w:val="36"/>
        </w:rPr>
        <w:t>（四）联合体响应</w:t>
      </w:r>
      <w:bookmarkEnd w:id="163"/>
      <w:bookmarkEnd w:id="164"/>
      <w:bookmarkEnd w:id="165"/>
      <w:bookmarkEnd w:id="166"/>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本项目不接受供应商组成联合体参加政府采购活动。</w:t>
      </w:r>
    </w:p>
    <w:p>
      <w:pPr>
        <w:pStyle w:val="5"/>
        <w:spacing w:before="0" w:after="0" w:line="500" w:lineRule="exact"/>
        <w:ind w:firstLine="562" w:firstLineChars="200"/>
        <w:rPr>
          <w:rFonts w:hint="eastAsia" w:ascii="方正仿宋_GBK" w:hAnsi="方正仿宋_GBK" w:eastAsia="方正仿宋_GBK" w:cs="方正仿宋_GBK"/>
          <w:sz w:val="28"/>
          <w:szCs w:val="36"/>
        </w:rPr>
      </w:pPr>
      <w:bookmarkStart w:id="167" w:name="_Toc27574"/>
      <w:bookmarkStart w:id="168" w:name="_Toc3176"/>
      <w:bookmarkStart w:id="169" w:name="_Toc63765784"/>
      <w:bookmarkStart w:id="170" w:name="_Toc9824"/>
      <w:r>
        <w:rPr>
          <w:rFonts w:hint="eastAsia" w:ascii="方正仿宋_GBK" w:hAnsi="方正仿宋_GBK" w:eastAsia="方正仿宋_GBK" w:cs="方正仿宋_GBK"/>
          <w:sz w:val="28"/>
          <w:szCs w:val="36"/>
        </w:rPr>
        <w:t>（五）知识产权</w:t>
      </w:r>
      <w:bookmarkEnd w:id="167"/>
      <w:bookmarkEnd w:id="168"/>
      <w:bookmarkEnd w:id="169"/>
      <w:bookmarkEnd w:id="170"/>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2.采购人享有本项目实施过程中产生的知识成果及知识产权。</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供应商如欲在项目实施过程中采用自有知识成果，应在响应文件中声明，并提供相关知识产权证明文件。使用该知识成果后，供应商需提供开发接口和开发手册等技术文档，并承诺提供无限期技术支持，采购人享有永久使用权。</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4.如采用供应商所不拥有的知识产权，则在报价中必须包括合法获取该知识产权的相关费用。</w:t>
      </w:r>
    </w:p>
    <w:p>
      <w:pPr>
        <w:pStyle w:val="5"/>
        <w:spacing w:before="0" w:after="0" w:line="500" w:lineRule="exact"/>
        <w:ind w:firstLine="562" w:firstLineChars="200"/>
        <w:rPr>
          <w:rFonts w:hint="eastAsia" w:ascii="方正仿宋_GBK" w:hAnsi="方正仿宋_GBK" w:eastAsia="方正仿宋_GBK" w:cs="方正仿宋_GBK"/>
          <w:sz w:val="28"/>
          <w:szCs w:val="36"/>
        </w:rPr>
      </w:pPr>
      <w:bookmarkStart w:id="171" w:name="_Toc3678"/>
      <w:bookmarkStart w:id="172" w:name="_Toc63765785"/>
      <w:bookmarkStart w:id="173" w:name="_Toc29663"/>
      <w:bookmarkStart w:id="174" w:name="_Toc18577"/>
      <w:bookmarkStart w:id="175" w:name="_Hlk3798868"/>
      <w:r>
        <w:rPr>
          <w:rFonts w:hint="eastAsia" w:ascii="方正仿宋_GBK" w:hAnsi="方正仿宋_GBK" w:eastAsia="方正仿宋_GBK" w:cs="方正仿宋_GBK"/>
          <w:sz w:val="28"/>
          <w:szCs w:val="36"/>
        </w:rPr>
        <w:t>（六）磋商担保</w:t>
      </w:r>
      <w:bookmarkEnd w:id="171"/>
      <w:bookmarkEnd w:id="172"/>
      <w:bookmarkEnd w:id="173"/>
      <w:bookmarkEnd w:id="174"/>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本项目不设磋商担保。</w:t>
      </w:r>
    </w:p>
    <w:bookmarkEnd w:id="175"/>
    <w:p>
      <w:pPr>
        <w:pStyle w:val="5"/>
        <w:spacing w:before="0" w:after="0" w:line="500" w:lineRule="exact"/>
        <w:ind w:firstLine="562" w:firstLineChars="200"/>
        <w:rPr>
          <w:rFonts w:hint="eastAsia" w:ascii="方正仿宋_GBK" w:hAnsi="方正仿宋_GBK" w:eastAsia="方正仿宋_GBK" w:cs="方正仿宋_GBK"/>
          <w:sz w:val="28"/>
          <w:szCs w:val="36"/>
        </w:rPr>
      </w:pPr>
      <w:bookmarkStart w:id="176" w:name="_Toc25125"/>
      <w:bookmarkStart w:id="177" w:name="_Toc1099"/>
      <w:bookmarkStart w:id="178" w:name="_Toc63765786"/>
      <w:bookmarkStart w:id="179" w:name="_Toc19675"/>
      <w:r>
        <w:rPr>
          <w:rFonts w:hint="eastAsia" w:ascii="方正仿宋_GBK" w:hAnsi="方正仿宋_GBK" w:eastAsia="方正仿宋_GBK" w:cs="方正仿宋_GBK"/>
          <w:sz w:val="28"/>
          <w:szCs w:val="36"/>
        </w:rPr>
        <w:t>（七）响应有效期</w:t>
      </w:r>
      <w:bookmarkEnd w:id="176"/>
      <w:bookmarkEnd w:id="177"/>
      <w:bookmarkEnd w:id="178"/>
      <w:bookmarkEnd w:id="179"/>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1.响应文件所载的响应有效期短于规定期限的，其响应将作无效处理。</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2.评审和确定成交人应当在响应有效期结束之日的30个工作日前完成。不能在前述时间期限内完成评审和确定成交人的，</w:t>
      </w:r>
      <w:bookmarkStart w:id="180" w:name="【Bobole_代理机构名称_141】"/>
      <w:r>
        <w:rPr>
          <w:rFonts w:hint="eastAsia" w:ascii="方正仿宋_GBK" w:hAnsi="方正仿宋_GBK" w:eastAsia="方正仿宋_GBK" w:cs="方正仿宋_GBK"/>
          <w:sz w:val="28"/>
          <w:szCs w:val="28"/>
        </w:rPr>
        <w:t>四川振嘉工程招标代理有限公司</w:t>
      </w:r>
      <w:bookmarkEnd w:id="180"/>
      <w:r>
        <w:rPr>
          <w:rFonts w:hint="eastAsia" w:ascii="方正仿宋_GBK" w:hAnsi="方正仿宋_GBK" w:eastAsia="方正仿宋_GBK" w:cs="方正仿宋_GBK"/>
          <w:sz w:val="28"/>
          <w:szCs w:val="28"/>
        </w:rPr>
        <w:t>将通知所有提交响应文件的供应商延长响应有效期。同意延长响应有效期的供应商不得修改其响应文件的实质性内容。</w:t>
      </w:r>
    </w:p>
    <w:p>
      <w:pPr>
        <w:pStyle w:val="5"/>
        <w:spacing w:before="0" w:after="0" w:line="500" w:lineRule="exact"/>
        <w:ind w:firstLine="562" w:firstLineChars="200"/>
        <w:rPr>
          <w:rFonts w:hint="eastAsia" w:ascii="方正仿宋_GBK" w:hAnsi="方正仿宋_GBK" w:eastAsia="方正仿宋_GBK" w:cs="方正仿宋_GBK"/>
          <w:sz w:val="28"/>
          <w:szCs w:val="36"/>
        </w:rPr>
      </w:pPr>
      <w:bookmarkStart w:id="181" w:name="_Toc27521"/>
      <w:bookmarkStart w:id="182" w:name="_Toc24452"/>
      <w:bookmarkStart w:id="183" w:name="_Toc32537"/>
      <w:r>
        <w:rPr>
          <w:rFonts w:hint="eastAsia" w:ascii="方正仿宋_GBK" w:hAnsi="方正仿宋_GBK" w:eastAsia="方正仿宋_GBK" w:cs="方正仿宋_GBK"/>
          <w:sz w:val="28"/>
          <w:szCs w:val="36"/>
        </w:rPr>
        <w:t>（八）响应文件的组成</w:t>
      </w:r>
      <w:bookmarkEnd w:id="181"/>
      <w:bookmarkEnd w:id="182"/>
      <w:bookmarkEnd w:id="183"/>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响应文件由资格响应部分、报价部分、技术和服务响应部分组成。</w:t>
      </w:r>
    </w:p>
    <w:p>
      <w:pPr>
        <w:spacing w:line="500" w:lineRule="exact"/>
        <w:ind w:firstLine="562" w:firstLineChars="200"/>
        <w:rPr>
          <w:rFonts w:hint="eastAsia" w:ascii="方正仿宋_GBK" w:hAnsi="方正仿宋_GBK" w:eastAsia="方正仿宋_GBK" w:cs="方正仿宋_GBK"/>
          <w:b/>
          <w:sz w:val="28"/>
          <w:szCs w:val="24"/>
        </w:rPr>
      </w:pPr>
      <w:r>
        <w:rPr>
          <w:rFonts w:hint="eastAsia" w:ascii="方正仿宋_GBK" w:hAnsi="方正仿宋_GBK" w:eastAsia="方正仿宋_GBK" w:cs="方正仿宋_GBK"/>
          <w:b/>
          <w:sz w:val="28"/>
          <w:szCs w:val="24"/>
        </w:rPr>
        <w:t>1.资格响应部分</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具体内容见本文件第三章。</w:t>
      </w:r>
    </w:p>
    <w:p>
      <w:pPr>
        <w:spacing w:line="500" w:lineRule="exact"/>
        <w:ind w:firstLine="562" w:firstLineChars="200"/>
        <w:rPr>
          <w:rFonts w:hint="eastAsia" w:ascii="方正仿宋_GBK" w:hAnsi="方正仿宋_GBK" w:eastAsia="方正仿宋_GBK" w:cs="方正仿宋_GBK"/>
          <w:b/>
          <w:sz w:val="28"/>
          <w:szCs w:val="24"/>
        </w:rPr>
      </w:pPr>
      <w:r>
        <w:rPr>
          <w:rFonts w:hint="eastAsia" w:ascii="方正仿宋_GBK" w:hAnsi="方正仿宋_GBK" w:eastAsia="方正仿宋_GBK" w:cs="方正仿宋_GBK"/>
          <w:b/>
          <w:sz w:val="28"/>
          <w:szCs w:val="24"/>
        </w:rPr>
        <w:t>2.报价部分</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（1）供应商以书面形式作出报价。</w:t>
      </w:r>
    </w:p>
    <w:p>
      <w:pPr>
        <w:spacing w:line="500" w:lineRule="exact"/>
        <w:ind w:firstLine="560" w:firstLineChars="200"/>
        <w:rPr>
          <w:rFonts w:hint="eastAsia" w:ascii="方正仿宋_GBK" w:hAnsi="方正仿宋_GBK" w:eastAsia="方正仿宋_GBK" w:cs="方正仿宋_GBK"/>
          <w:sz w:val="28"/>
          <w:szCs w:val="28"/>
        </w:rPr>
      </w:pPr>
      <w:bookmarkStart w:id="184" w:name="_Hlk34229070"/>
      <w:r>
        <w:rPr>
          <w:rFonts w:hint="eastAsia" w:ascii="方正仿宋_GBK" w:hAnsi="方正仿宋_GBK" w:eastAsia="方正仿宋_GBK" w:cs="方正仿宋_GBK"/>
          <w:sz w:val="28"/>
          <w:szCs w:val="28"/>
        </w:rPr>
        <w:t>（2）供应商的报价应以本项目采购需求、供应商自身的技术和管理水平、运营成本等因素为依据，是供应商响应采购项目要求的全部工作内容的价格体现，是最终用户验收合格后的总价，包含了供应商完成本项目所需的一切费用，具体包括物料、人工、印制服务、保险、其他服务、税费等及磋商文件规定的其它费用，即“包干价”。</w:t>
      </w:r>
    </w:p>
    <w:bookmarkEnd w:id="184"/>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（3）本项目采取多轮报价方式，以供应商最后一轮报价为其有效报价。供应商的各轮报价均不得高于本项目所设的最高限价。供应商未在响应文件中作出第一轮报价或供应商</w:t>
      </w:r>
      <w:bookmarkStart w:id="185" w:name="_Hlk34662320"/>
      <w:r>
        <w:rPr>
          <w:rFonts w:hint="eastAsia" w:ascii="方正仿宋_GBK" w:hAnsi="方正仿宋_GBK" w:eastAsia="方正仿宋_GBK" w:cs="方正仿宋_GBK"/>
          <w:sz w:val="28"/>
          <w:szCs w:val="28"/>
        </w:rPr>
        <w:t>任意一轮</w:t>
      </w:r>
      <w:bookmarkEnd w:id="185"/>
      <w:r>
        <w:rPr>
          <w:rFonts w:hint="eastAsia" w:ascii="方正仿宋_GBK" w:hAnsi="方正仿宋_GBK" w:eastAsia="方正仿宋_GBK" w:cs="方正仿宋_GBK"/>
          <w:sz w:val="28"/>
          <w:szCs w:val="28"/>
        </w:rPr>
        <w:t>报价高于本项目所设最高限价的，其响应文件作无效处理。</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（4）每一轮报价中，每个标的只允许有一个报价，并且在合同履行过程中是固定不变的；任何有选择的报价将不予接受，并按无效响应处理。</w:t>
      </w:r>
    </w:p>
    <w:p>
      <w:pPr>
        <w:spacing w:line="500" w:lineRule="exact"/>
        <w:ind w:firstLine="562" w:firstLineChars="200"/>
        <w:rPr>
          <w:rFonts w:hint="eastAsia" w:ascii="方正仿宋_GBK" w:hAnsi="方正仿宋_GBK" w:eastAsia="方正仿宋_GBK" w:cs="方正仿宋_GBK"/>
          <w:b/>
          <w:color w:val="auto"/>
          <w:sz w:val="28"/>
          <w:szCs w:val="24"/>
        </w:rPr>
      </w:pPr>
      <w:r>
        <w:rPr>
          <w:rFonts w:hint="eastAsia" w:ascii="方正仿宋_GBK" w:hAnsi="方正仿宋_GBK" w:eastAsia="方正仿宋_GBK" w:cs="方正仿宋_GBK"/>
          <w:b/>
          <w:color w:val="auto"/>
          <w:sz w:val="28"/>
          <w:szCs w:val="24"/>
        </w:rPr>
        <w:t>3.技术、服务响应部分</w:t>
      </w:r>
      <w:bookmarkStart w:id="186" w:name="_Hlk34232799"/>
    </w:p>
    <w:p>
      <w:pPr>
        <w:spacing w:line="500" w:lineRule="exact"/>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供应商按照磋商文件要求作出的技术、服务应答，主要是针对采购项目的技术和服务要求作出的响应和满足，包括下列内容：</w:t>
      </w:r>
      <w:bookmarkEnd w:id="186"/>
    </w:p>
    <w:p>
      <w:pPr>
        <w:numPr>
          <w:ilvl w:val="0"/>
          <w:numId w:val="5"/>
        </w:numPr>
        <w:spacing w:line="500" w:lineRule="exact"/>
        <w:ind w:firstLine="560" w:firstLineChars="200"/>
        <w:rPr>
          <w:rFonts w:hint="eastAsia" w:ascii="方正仿宋_GBK" w:hAnsi="方正仿宋_GBK" w:eastAsia="方正仿宋_GBK" w:cs="方正仿宋_GBK"/>
          <w:color w:val="auto"/>
          <w:sz w:val="28"/>
          <w:szCs w:val="28"/>
        </w:rPr>
      </w:pPr>
      <w:bookmarkStart w:id="187" w:name="【Bobole_投标组成_技术】"/>
      <w:r>
        <w:rPr>
          <w:rFonts w:hint="eastAsia" w:ascii="方正仿宋_GBK" w:hAnsi="方正仿宋_GBK" w:eastAsia="方正仿宋_GBK" w:cs="方正仿宋_GBK"/>
          <w:color w:val="auto"/>
          <w:sz w:val="28"/>
          <w:szCs w:val="28"/>
        </w:rPr>
        <w:t>技术、服务要求响应情况对照表</w:t>
      </w:r>
    </w:p>
    <w:p>
      <w:pPr>
        <w:numPr>
          <w:ilvl w:val="0"/>
          <w:numId w:val="5"/>
        </w:numPr>
        <w:spacing w:line="500" w:lineRule="exact"/>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商务要求响应情况对照表</w:t>
      </w:r>
    </w:p>
    <w:p>
      <w:pPr>
        <w:numPr>
          <w:ilvl w:val="0"/>
          <w:numId w:val="5"/>
        </w:numPr>
        <w:spacing w:line="500" w:lineRule="exact"/>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技术服务方案、项目实施方案</w:t>
      </w:r>
    </w:p>
    <w:p>
      <w:pPr>
        <w:numPr>
          <w:ilvl w:val="0"/>
          <w:numId w:val="5"/>
        </w:numPr>
        <w:spacing w:line="500" w:lineRule="exact"/>
        <w:ind w:left="0" w:leftChars="0"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售后服务相关材料</w:t>
      </w:r>
    </w:p>
    <w:p>
      <w:pPr>
        <w:numPr>
          <w:ilvl w:val="0"/>
          <w:numId w:val="5"/>
        </w:numPr>
        <w:spacing w:line="500" w:lineRule="exact"/>
        <w:ind w:left="0" w:leftChars="0"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供应商认为需要提供的文件和资料</w:t>
      </w:r>
      <w:bookmarkEnd w:id="187"/>
      <w:r>
        <w:rPr>
          <w:rFonts w:hint="eastAsia" w:ascii="方正仿宋_GBK" w:hAnsi="方正仿宋_GBK" w:eastAsia="方正仿宋_GBK" w:cs="方正仿宋_GBK"/>
          <w:color w:val="auto"/>
          <w:sz w:val="28"/>
          <w:szCs w:val="28"/>
        </w:rPr>
        <w:t xml:space="preserve">  </w:t>
      </w:r>
    </w:p>
    <w:p>
      <w:pPr>
        <w:pStyle w:val="5"/>
        <w:spacing w:before="0" w:after="0" w:line="500" w:lineRule="exact"/>
        <w:ind w:firstLine="562" w:firstLineChars="200"/>
        <w:rPr>
          <w:rFonts w:hint="eastAsia" w:ascii="方正仿宋_GBK" w:hAnsi="方正仿宋_GBK" w:eastAsia="方正仿宋_GBK" w:cs="方正仿宋_GBK"/>
          <w:sz w:val="28"/>
          <w:szCs w:val="36"/>
        </w:rPr>
      </w:pPr>
      <w:bookmarkStart w:id="188" w:name="_Toc19536"/>
      <w:bookmarkStart w:id="189" w:name="_Toc63765787"/>
      <w:bookmarkStart w:id="190" w:name="_Toc21198"/>
      <w:bookmarkStart w:id="191" w:name="_Toc27644"/>
      <w:r>
        <w:rPr>
          <w:rFonts w:hint="eastAsia" w:ascii="方正仿宋_GBK" w:hAnsi="方正仿宋_GBK" w:eastAsia="方正仿宋_GBK" w:cs="方正仿宋_GBK"/>
          <w:sz w:val="28"/>
          <w:szCs w:val="36"/>
        </w:rPr>
        <w:t>（九）响应文件格式</w:t>
      </w:r>
      <w:bookmarkEnd w:id="188"/>
      <w:bookmarkEnd w:id="189"/>
      <w:bookmarkEnd w:id="190"/>
      <w:bookmarkEnd w:id="191"/>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1.供应商应尽量对照磋商文件提供的格式编制响应文件。除特别明确为“实质性格式”的内容，该格式一律不具备强制性。</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2.磋商文件提供的格式不能满足供应商填制需求的，供应商可自行设计格式填写，但其意思表示应当明确，且不得提出采购人无法接受的要求。</w:t>
      </w:r>
    </w:p>
    <w:p>
      <w:pPr>
        <w:pStyle w:val="5"/>
        <w:spacing w:before="0" w:after="0" w:line="500" w:lineRule="exact"/>
        <w:ind w:firstLine="562" w:firstLineChars="200"/>
        <w:rPr>
          <w:rFonts w:hint="eastAsia" w:ascii="方正仿宋_GBK" w:hAnsi="方正仿宋_GBK" w:eastAsia="方正仿宋_GBK" w:cs="方正仿宋_GBK"/>
          <w:sz w:val="28"/>
          <w:szCs w:val="36"/>
        </w:rPr>
      </w:pPr>
      <w:bookmarkStart w:id="192" w:name="_Toc1777"/>
      <w:bookmarkStart w:id="193" w:name="_Toc63765788"/>
      <w:bookmarkStart w:id="194" w:name="_Toc30273"/>
      <w:bookmarkStart w:id="195" w:name="_Toc6060"/>
      <w:r>
        <w:rPr>
          <w:rFonts w:hint="eastAsia" w:ascii="方正仿宋_GBK" w:hAnsi="方正仿宋_GBK" w:eastAsia="方正仿宋_GBK" w:cs="方正仿宋_GBK"/>
          <w:sz w:val="28"/>
          <w:szCs w:val="36"/>
        </w:rPr>
        <w:t>（十）响应文件的制作和签署</w:t>
      </w:r>
      <w:bookmarkEnd w:id="192"/>
      <w:bookmarkEnd w:id="193"/>
      <w:bookmarkEnd w:id="194"/>
      <w:bookmarkEnd w:id="195"/>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1.响应文件应当使用《</w:t>
      </w:r>
      <w:r>
        <w:rPr>
          <w:rFonts w:hint="eastAsia" w:ascii="方正仿宋_GBK" w:hAnsi="方正仿宋_GBK" w:eastAsia="方正仿宋_GBK" w:cs="方正仿宋_GBK"/>
          <w:sz w:val="28"/>
          <w:szCs w:val="28"/>
          <w:lang w:eastAsia="zh-CN"/>
        </w:rPr>
        <w:t>巴中</w:t>
      </w:r>
      <w:r>
        <w:rPr>
          <w:rFonts w:hint="eastAsia" w:ascii="方正仿宋_GBK" w:hAnsi="方正仿宋_GBK" w:eastAsia="方正仿宋_GBK" w:cs="方正仿宋_GBK"/>
          <w:sz w:val="28"/>
          <w:szCs w:val="28"/>
        </w:rPr>
        <w:t>市电子化政府采购投标书编制系统》制作并使用数字证书（CA）签章，最终生成类型为XXX.BBL,XXX.BZL,XXX.BJL的电子化响应文件。</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2.电子化响应文件的类型不符合上述要求，导致文件提交后系统无法读取导入的，其响应文件将视为无效。</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3.电子化响应文件应按照磋商文件的要求制作。</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4.供应商应就响应文件的特定部分进行纸质文件的签字、盖章，经扫描后导入到《</w:t>
      </w:r>
      <w:r>
        <w:rPr>
          <w:rFonts w:hint="eastAsia" w:ascii="方正仿宋_GBK" w:hAnsi="方正仿宋_GBK" w:eastAsia="方正仿宋_GBK" w:cs="方正仿宋_GBK"/>
          <w:sz w:val="28"/>
          <w:szCs w:val="28"/>
          <w:lang w:eastAsia="zh-CN"/>
        </w:rPr>
        <w:t>巴中</w:t>
      </w:r>
      <w:r>
        <w:rPr>
          <w:rFonts w:hint="eastAsia" w:ascii="方正仿宋_GBK" w:hAnsi="方正仿宋_GBK" w:eastAsia="方正仿宋_GBK" w:cs="方正仿宋_GBK"/>
          <w:sz w:val="28"/>
          <w:szCs w:val="28"/>
        </w:rPr>
        <w:t>市电子化政府采购投标书编制系统》。前述“特定部分”包括但不限于磋商承诺函、授权委托书、关于享受价格扣除所提交的资料。</w:t>
      </w:r>
    </w:p>
    <w:p>
      <w:pPr>
        <w:pStyle w:val="5"/>
        <w:spacing w:before="0" w:after="0" w:line="360" w:lineRule="auto"/>
        <w:ind w:firstLine="562" w:firstLineChars="200"/>
        <w:rPr>
          <w:rFonts w:hint="eastAsia" w:ascii="方正仿宋_GBK" w:hAnsi="方正仿宋_GBK" w:eastAsia="方正仿宋_GBK" w:cs="方正仿宋_GBK"/>
          <w:sz w:val="28"/>
          <w:szCs w:val="28"/>
        </w:rPr>
      </w:pPr>
      <w:bookmarkStart w:id="196" w:name="_Toc12134"/>
      <w:bookmarkStart w:id="197" w:name="_Toc1240"/>
      <w:bookmarkStart w:id="198" w:name="_Toc1543"/>
      <w:bookmarkStart w:id="199" w:name="_Toc63765791"/>
      <w:r>
        <w:rPr>
          <w:rFonts w:hint="eastAsia" w:ascii="方正仿宋_GBK" w:hAnsi="方正仿宋_GBK" w:eastAsia="方正仿宋_GBK" w:cs="方正仿宋_GBK"/>
          <w:sz w:val="28"/>
          <w:szCs w:val="28"/>
        </w:rPr>
        <w:t>（十一）响应文件的提交及解密</w:t>
      </w:r>
      <w:bookmarkEnd w:id="196"/>
      <w:bookmarkEnd w:id="197"/>
      <w:bookmarkEnd w:id="198"/>
    </w:p>
    <w:p>
      <w:pPr>
        <w:wordWrap w:val="0"/>
        <w:spacing w:line="500" w:lineRule="exact"/>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z w:val="28"/>
          <w:szCs w:val="28"/>
        </w:rPr>
        <w:t>供应商应于响应截止时间前，将电子化响应文件上传到</w:t>
      </w:r>
      <w:r>
        <w:rPr>
          <w:rFonts w:hint="eastAsia" w:ascii="方正仿宋_GBK" w:hAnsi="方正仿宋_GBK" w:eastAsia="方正仿宋_GBK" w:cs="方正仿宋_GBK"/>
          <w:sz w:val="28"/>
          <w:szCs w:val="28"/>
          <w:lang w:eastAsia="zh-CN"/>
        </w:rPr>
        <w:t>巴中</w:t>
      </w:r>
      <w:r>
        <w:rPr>
          <w:rFonts w:hint="eastAsia" w:ascii="方正仿宋_GBK" w:hAnsi="方正仿宋_GBK" w:eastAsia="方正仿宋_GBK" w:cs="方正仿宋_GBK"/>
          <w:sz w:val="28"/>
          <w:szCs w:val="28"/>
        </w:rPr>
        <w:t>市电子化政府采购管理系统，并在</w:t>
      </w:r>
      <w:r>
        <w:rPr>
          <w:rFonts w:hint="eastAsia" w:ascii="方正仿宋_GBK" w:hAnsi="方正仿宋_GBK" w:eastAsia="方正仿宋_GBK" w:cs="方正仿宋_GBK"/>
          <w:b/>
          <w:color w:val="auto"/>
          <w:sz w:val="32"/>
          <w:szCs w:val="32"/>
          <w:u w:val="single"/>
        </w:rPr>
        <w:t>响应截止时间后30分钟内通过《</w:t>
      </w:r>
      <w:r>
        <w:rPr>
          <w:rFonts w:hint="eastAsia" w:ascii="方正仿宋_GBK" w:hAnsi="方正仿宋_GBK" w:eastAsia="方正仿宋_GBK" w:cs="方正仿宋_GBK"/>
          <w:b/>
          <w:color w:val="auto"/>
          <w:sz w:val="32"/>
          <w:szCs w:val="32"/>
          <w:u w:val="single"/>
          <w:lang w:eastAsia="zh-CN"/>
        </w:rPr>
        <w:t>巴中</w:t>
      </w:r>
      <w:r>
        <w:rPr>
          <w:rFonts w:hint="eastAsia" w:ascii="方正仿宋_GBK" w:hAnsi="方正仿宋_GBK" w:eastAsia="方正仿宋_GBK" w:cs="方正仿宋_GBK"/>
          <w:b/>
          <w:color w:val="auto"/>
          <w:sz w:val="32"/>
          <w:szCs w:val="32"/>
          <w:u w:val="single"/>
        </w:rPr>
        <w:t>市电子化政府采购投标书编制系统》解密电子响应文件</w:t>
      </w:r>
      <w:r>
        <w:rPr>
          <w:rFonts w:hint="eastAsia" w:ascii="方正仿宋_GBK" w:hAnsi="方正仿宋_GBK" w:eastAsia="方正仿宋_GBK" w:cs="方正仿宋_GBK"/>
          <w:color w:val="auto"/>
          <w:sz w:val="28"/>
          <w:szCs w:val="28"/>
        </w:rPr>
        <w:t>。</w:t>
      </w:r>
    </w:p>
    <w:p>
      <w:pPr>
        <w:wordWrap w:val="0"/>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z w:val="28"/>
          <w:szCs w:val="28"/>
        </w:rPr>
        <w:t>除因</w:t>
      </w:r>
      <w:r>
        <w:rPr>
          <w:rFonts w:hint="eastAsia" w:ascii="方正仿宋_GBK" w:hAnsi="方正仿宋_GBK" w:eastAsia="方正仿宋_GBK" w:cs="方正仿宋_GBK"/>
          <w:sz w:val="28"/>
          <w:szCs w:val="28"/>
          <w:lang w:eastAsia="zh-CN"/>
        </w:rPr>
        <w:t>巴中</w:t>
      </w:r>
      <w:r>
        <w:rPr>
          <w:rFonts w:hint="eastAsia" w:ascii="方正仿宋_GBK" w:hAnsi="方正仿宋_GBK" w:eastAsia="方正仿宋_GBK" w:cs="方正仿宋_GBK"/>
          <w:sz w:val="28"/>
          <w:szCs w:val="28"/>
        </w:rPr>
        <w:t>市电子化政府采购管理系统发生故障导致供应商电子响应文件无法按时解密外，</w:t>
      </w:r>
      <w:r>
        <w:rPr>
          <w:rFonts w:hint="eastAsia" w:ascii="方正仿宋_GBK" w:hAnsi="方正仿宋_GBK" w:eastAsia="方正仿宋_GBK" w:cs="方正仿宋_GBK"/>
          <w:b/>
          <w:sz w:val="28"/>
          <w:szCs w:val="28"/>
        </w:rPr>
        <w:t>电子响应文件未按时解密的，由采购人或采购代理机构作为无效投标处理</w:t>
      </w:r>
      <w:r>
        <w:rPr>
          <w:rFonts w:hint="eastAsia" w:ascii="方正仿宋_GBK" w:hAnsi="方正仿宋_GBK" w:eastAsia="方正仿宋_GBK" w:cs="方正仿宋_GBK"/>
          <w:sz w:val="28"/>
          <w:szCs w:val="28"/>
        </w:rPr>
        <w:t>。</w:t>
      </w:r>
    </w:p>
    <w:p>
      <w:pPr>
        <w:wordWrap w:val="0"/>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z w:val="28"/>
          <w:szCs w:val="28"/>
        </w:rPr>
        <w:t>本次采购为电子化政府采购，不接受供应商以采购文件规定之外的方式提交响应文件。</w:t>
      </w:r>
    </w:p>
    <w:p>
      <w:pPr>
        <w:pStyle w:val="5"/>
        <w:spacing w:before="0" w:after="0" w:line="360" w:lineRule="auto"/>
        <w:ind w:firstLine="562" w:firstLineChars="200"/>
        <w:rPr>
          <w:rFonts w:hint="eastAsia" w:ascii="方正仿宋_GBK" w:hAnsi="方正仿宋_GBK" w:eastAsia="方正仿宋_GBK" w:cs="方正仿宋_GBK"/>
          <w:sz w:val="28"/>
          <w:szCs w:val="28"/>
        </w:rPr>
      </w:pPr>
      <w:bookmarkStart w:id="200" w:name="_Toc29426"/>
      <w:bookmarkStart w:id="201" w:name="_Toc1833"/>
      <w:bookmarkStart w:id="202" w:name="_Toc19816"/>
      <w:r>
        <w:rPr>
          <w:rFonts w:hint="eastAsia" w:ascii="方正仿宋_GBK" w:hAnsi="方正仿宋_GBK" w:eastAsia="方正仿宋_GBK" w:cs="方正仿宋_GBK"/>
          <w:sz w:val="28"/>
          <w:szCs w:val="28"/>
        </w:rPr>
        <w:t>（十二）响应文件的修改和撤回</w:t>
      </w:r>
      <w:bookmarkEnd w:id="200"/>
      <w:bookmarkEnd w:id="201"/>
      <w:bookmarkEnd w:id="202"/>
    </w:p>
    <w:p>
      <w:pPr>
        <w:wordWrap w:val="0"/>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 响应截止时间前，成功提交电子响应文件的供应商，可以补充、修改或者撤回已提交的响应文件；</w:t>
      </w:r>
      <w:r>
        <w:rPr>
          <w:rFonts w:hint="eastAsia" w:ascii="方正仿宋_GBK" w:hAnsi="方正仿宋_GBK" w:eastAsia="方正仿宋_GBK" w:cs="方正仿宋_GBK"/>
          <w:b/>
          <w:sz w:val="28"/>
          <w:szCs w:val="28"/>
        </w:rPr>
        <w:t>进行补充、修改的，应当先行撤回已提交的响应文件</w:t>
      </w:r>
      <w:r>
        <w:rPr>
          <w:rFonts w:hint="eastAsia" w:ascii="方正仿宋_GBK" w:hAnsi="方正仿宋_GBK" w:eastAsia="方正仿宋_GBK" w:cs="方正仿宋_GBK"/>
          <w:sz w:val="28"/>
          <w:szCs w:val="28"/>
        </w:rPr>
        <w:t>，通过《</w:t>
      </w:r>
      <w:r>
        <w:rPr>
          <w:rFonts w:hint="eastAsia" w:ascii="方正仿宋_GBK" w:hAnsi="方正仿宋_GBK" w:eastAsia="方正仿宋_GBK" w:cs="方正仿宋_GBK"/>
          <w:sz w:val="28"/>
          <w:szCs w:val="28"/>
          <w:lang w:eastAsia="zh-CN"/>
        </w:rPr>
        <w:t>巴中</w:t>
      </w:r>
      <w:r>
        <w:rPr>
          <w:rFonts w:hint="eastAsia" w:ascii="方正仿宋_GBK" w:hAnsi="方正仿宋_GBK" w:eastAsia="方正仿宋_GBK" w:cs="方正仿宋_GBK"/>
          <w:sz w:val="28"/>
          <w:szCs w:val="28"/>
        </w:rPr>
        <w:t>市电子化政府采购投标书编制系统》补充、修改后重新提交。</w:t>
      </w:r>
    </w:p>
    <w:p>
      <w:pPr>
        <w:wordWrap w:val="0"/>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 在响应截止时间之后，供应商不得对其提交的响应文件做任何修改或撤回投标。</w:t>
      </w:r>
    </w:p>
    <w:p>
      <w:pPr>
        <w:pStyle w:val="3"/>
        <w:spacing w:before="0" w:after="0"/>
        <w:jc w:val="center"/>
        <w:rPr>
          <w:rFonts w:hint="eastAsia" w:ascii="方正仿宋_GBK" w:hAnsi="方正仿宋_GBK" w:eastAsia="方正仿宋_GBK" w:cs="方正仿宋_GBK"/>
          <w:bCs/>
        </w:rPr>
      </w:pPr>
      <w:bookmarkStart w:id="203" w:name="_Toc23972"/>
      <w:bookmarkStart w:id="204" w:name="_Toc27966"/>
      <w:bookmarkStart w:id="205" w:name="_Toc19422"/>
      <w:r>
        <w:rPr>
          <w:rFonts w:hint="eastAsia" w:ascii="方正仿宋_GBK" w:hAnsi="方正仿宋_GBK" w:eastAsia="方正仿宋_GBK" w:cs="方正仿宋_GBK"/>
          <w:bCs/>
        </w:rPr>
        <w:t>五、磋商程序和成交标准</w:t>
      </w:r>
      <w:bookmarkEnd w:id="199"/>
      <w:bookmarkEnd w:id="203"/>
      <w:bookmarkEnd w:id="204"/>
      <w:bookmarkEnd w:id="205"/>
    </w:p>
    <w:p>
      <w:pPr>
        <w:pStyle w:val="4"/>
        <w:spacing w:line="500" w:lineRule="exact"/>
        <w:ind w:firstLine="56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见本文见第六章。</w:t>
      </w:r>
    </w:p>
    <w:p>
      <w:pPr>
        <w:pStyle w:val="3"/>
        <w:spacing w:before="0" w:after="0"/>
        <w:jc w:val="center"/>
        <w:rPr>
          <w:rFonts w:hint="eastAsia" w:ascii="方正仿宋_GBK" w:hAnsi="方正仿宋_GBK" w:eastAsia="方正仿宋_GBK" w:cs="方正仿宋_GBK"/>
          <w:bCs/>
        </w:rPr>
      </w:pPr>
      <w:bookmarkStart w:id="206" w:name="_Toc31040"/>
      <w:bookmarkStart w:id="207" w:name="_Toc63765792"/>
      <w:bookmarkStart w:id="208" w:name="_Toc19992"/>
      <w:bookmarkStart w:id="209" w:name="_Toc28382"/>
      <w:r>
        <w:rPr>
          <w:rFonts w:hint="eastAsia" w:ascii="方正仿宋_GBK" w:hAnsi="方正仿宋_GBK" w:eastAsia="方正仿宋_GBK" w:cs="方正仿宋_GBK"/>
          <w:bCs/>
        </w:rPr>
        <w:t>六、政府采购合同</w:t>
      </w:r>
      <w:bookmarkEnd w:id="206"/>
      <w:bookmarkEnd w:id="207"/>
      <w:bookmarkEnd w:id="208"/>
      <w:bookmarkEnd w:id="209"/>
    </w:p>
    <w:p>
      <w:pPr>
        <w:pStyle w:val="5"/>
        <w:spacing w:before="0" w:after="0" w:line="500" w:lineRule="exact"/>
        <w:ind w:firstLine="562" w:firstLineChars="200"/>
        <w:rPr>
          <w:rFonts w:hint="eastAsia" w:ascii="方正仿宋_GBK" w:hAnsi="方正仿宋_GBK" w:eastAsia="方正仿宋_GBK" w:cs="方正仿宋_GBK"/>
          <w:sz w:val="28"/>
          <w:szCs w:val="36"/>
        </w:rPr>
      </w:pPr>
      <w:bookmarkStart w:id="210" w:name="_Toc25411"/>
      <w:bookmarkStart w:id="211" w:name="_Toc63765793"/>
      <w:bookmarkStart w:id="212" w:name="_Toc8366"/>
      <w:bookmarkStart w:id="213" w:name="_Toc5666"/>
      <w:r>
        <w:rPr>
          <w:rFonts w:hint="eastAsia" w:ascii="方正仿宋_GBK" w:hAnsi="方正仿宋_GBK" w:eastAsia="方正仿宋_GBK" w:cs="方正仿宋_GBK"/>
          <w:sz w:val="28"/>
          <w:szCs w:val="36"/>
        </w:rPr>
        <w:t>（一）履约担保</w:t>
      </w:r>
      <w:bookmarkEnd w:id="210"/>
      <w:bookmarkEnd w:id="211"/>
      <w:bookmarkEnd w:id="212"/>
      <w:bookmarkEnd w:id="213"/>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本项目不设履约担保。</w:t>
      </w:r>
    </w:p>
    <w:p>
      <w:pPr>
        <w:pStyle w:val="5"/>
        <w:spacing w:before="0" w:after="0" w:line="500" w:lineRule="exact"/>
        <w:ind w:firstLine="562" w:firstLineChars="200"/>
        <w:rPr>
          <w:rFonts w:hint="eastAsia" w:ascii="方正仿宋_GBK" w:hAnsi="方正仿宋_GBK" w:eastAsia="方正仿宋_GBK" w:cs="方正仿宋_GBK"/>
          <w:sz w:val="28"/>
          <w:szCs w:val="36"/>
        </w:rPr>
      </w:pPr>
      <w:bookmarkStart w:id="214" w:name="_Toc16103"/>
      <w:bookmarkStart w:id="215" w:name="_Toc63765794"/>
      <w:bookmarkStart w:id="216" w:name="_Toc32299"/>
      <w:bookmarkStart w:id="217" w:name="_Toc27964"/>
      <w:r>
        <w:rPr>
          <w:rFonts w:hint="eastAsia" w:ascii="方正仿宋_GBK" w:hAnsi="方正仿宋_GBK" w:eastAsia="方正仿宋_GBK" w:cs="方正仿宋_GBK"/>
          <w:sz w:val="28"/>
          <w:szCs w:val="36"/>
        </w:rPr>
        <w:t>（二）签订政府采购合同</w:t>
      </w:r>
      <w:bookmarkEnd w:id="214"/>
      <w:bookmarkEnd w:id="215"/>
      <w:bookmarkEnd w:id="216"/>
      <w:bookmarkEnd w:id="217"/>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采购人与成交供应商应当在成交通知书发出之日起30日内，按照采购文件确定的合同文本以及采购标的、规格型号、采购金额、采购数量、技术和服务要求等事项签订政府采购合同。由于成交人的原因逾期未与采购人签订采购合同的，将视为放弃成交，采购人在取得有权主体的认定后，有权取消其成交资格并按相关规定进行处理。</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2.采购人不得向成交人提出任何不合理的要求，作为签订合同的条件，不得与成交人私下订立背离合同实质性内容的任何协议，所签订的合同不得对磋商文件和成交人响应文件作实质性修改。</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3.成交人拒绝签订合同或因不可抗力原因不能履行采购合同，采购人可以按照磋商小组推荐的成交候选人名单排序，确定下一候选人为成交供应商，也可以重新开展政府采购活动。</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4.政府采购合同签订之日起2个工作日内，采购人应当将政府采购合同在四川政府采购网上公告（政府采购合同中涉及国家秘密、商业秘密的内容除外）。</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5.政府采购合同签订之日起7个工作日内，采购人应当将政府采购合同通过四川政府采购网报</w:t>
      </w:r>
      <w:r>
        <w:rPr>
          <w:rFonts w:hint="eastAsia" w:ascii="方正仿宋_GBK" w:hAnsi="方正仿宋_GBK" w:eastAsia="方正仿宋_GBK" w:cs="方正仿宋_GBK"/>
          <w:sz w:val="28"/>
          <w:szCs w:val="28"/>
          <w:lang w:eastAsia="zh-CN"/>
        </w:rPr>
        <w:t>巴中</w:t>
      </w:r>
      <w:r>
        <w:rPr>
          <w:rFonts w:hint="eastAsia" w:ascii="方正仿宋_GBK" w:hAnsi="方正仿宋_GBK" w:eastAsia="方正仿宋_GBK" w:cs="方正仿宋_GBK"/>
          <w:sz w:val="28"/>
          <w:szCs w:val="28"/>
        </w:rPr>
        <w:t>市财政局备案，同时报</w:t>
      </w:r>
      <w:bookmarkStart w:id="218" w:name="【Bobole_代理机构名称_142】"/>
      <w:r>
        <w:rPr>
          <w:rFonts w:hint="eastAsia" w:ascii="方正仿宋_GBK" w:hAnsi="方正仿宋_GBK" w:eastAsia="方正仿宋_GBK" w:cs="方正仿宋_GBK"/>
          <w:sz w:val="28"/>
          <w:szCs w:val="28"/>
        </w:rPr>
        <w:t>四川振嘉工程招标代理有限公司</w:t>
      </w:r>
      <w:bookmarkEnd w:id="218"/>
      <w:r>
        <w:rPr>
          <w:rFonts w:hint="eastAsia" w:ascii="方正仿宋_GBK" w:hAnsi="方正仿宋_GBK" w:eastAsia="方正仿宋_GBK" w:cs="方正仿宋_GBK"/>
          <w:sz w:val="28"/>
          <w:szCs w:val="28"/>
        </w:rPr>
        <w:t>存档。</w:t>
      </w:r>
    </w:p>
    <w:p>
      <w:pPr>
        <w:pStyle w:val="5"/>
        <w:spacing w:before="0" w:after="0" w:line="500" w:lineRule="exact"/>
        <w:ind w:firstLine="562" w:firstLineChars="200"/>
        <w:rPr>
          <w:rFonts w:hint="eastAsia" w:ascii="方正仿宋_GBK" w:hAnsi="方正仿宋_GBK" w:eastAsia="方正仿宋_GBK" w:cs="方正仿宋_GBK"/>
          <w:sz w:val="28"/>
          <w:szCs w:val="36"/>
        </w:rPr>
      </w:pPr>
      <w:bookmarkStart w:id="219" w:name="_Toc2022"/>
      <w:bookmarkStart w:id="220" w:name="_Toc11875"/>
      <w:bookmarkStart w:id="221" w:name="_Toc63765795"/>
      <w:bookmarkStart w:id="222" w:name="_Toc18479"/>
      <w:r>
        <w:rPr>
          <w:rFonts w:hint="eastAsia" w:ascii="方正仿宋_GBK" w:hAnsi="方正仿宋_GBK" w:eastAsia="方正仿宋_GBK" w:cs="方正仿宋_GBK"/>
          <w:sz w:val="28"/>
          <w:szCs w:val="36"/>
        </w:rPr>
        <w:t>（三）合同分包</w:t>
      </w:r>
      <w:bookmarkEnd w:id="219"/>
      <w:bookmarkEnd w:id="220"/>
      <w:bookmarkEnd w:id="221"/>
      <w:bookmarkEnd w:id="222"/>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详见第二章供应商须知表。</w:t>
      </w:r>
    </w:p>
    <w:p>
      <w:pPr>
        <w:pStyle w:val="5"/>
        <w:spacing w:before="0" w:after="0" w:line="500" w:lineRule="exact"/>
        <w:ind w:firstLine="562" w:firstLineChars="200"/>
        <w:rPr>
          <w:rFonts w:hint="eastAsia" w:ascii="方正仿宋_GBK" w:hAnsi="方正仿宋_GBK" w:eastAsia="方正仿宋_GBK" w:cs="方正仿宋_GBK"/>
          <w:sz w:val="28"/>
          <w:szCs w:val="36"/>
        </w:rPr>
      </w:pPr>
      <w:bookmarkStart w:id="223" w:name="_Toc63765796"/>
      <w:bookmarkStart w:id="224" w:name="_Toc10854"/>
      <w:bookmarkStart w:id="225" w:name="_Toc24145"/>
      <w:bookmarkStart w:id="226" w:name="_Toc452"/>
      <w:r>
        <w:rPr>
          <w:rFonts w:hint="eastAsia" w:ascii="方正仿宋_GBK" w:hAnsi="方正仿宋_GBK" w:eastAsia="方正仿宋_GBK" w:cs="方正仿宋_GBK"/>
          <w:sz w:val="28"/>
          <w:szCs w:val="36"/>
        </w:rPr>
        <w:t>（四）办理“政采贷”</w:t>
      </w:r>
      <w:bookmarkEnd w:id="223"/>
      <w:bookmarkEnd w:id="224"/>
      <w:bookmarkEnd w:id="225"/>
      <w:bookmarkEnd w:id="226"/>
    </w:p>
    <w:p>
      <w:pPr>
        <w:spacing w:line="500" w:lineRule="exact"/>
        <w:ind w:firstLine="560" w:firstLineChars="20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为助力解决中小企业、民营企业融资难、融资贵的问题，符合我省“政采贷”办理条件的中标人，可按照规定基于政府采购合同按优惠贷款利率办理“政采贷”，办理渠道见四川省政采贷信息服务平台（http://202.61.88.41:9009/static/login/login.html）。</w:t>
      </w:r>
    </w:p>
    <w:p>
      <w:pPr>
        <w:pStyle w:val="5"/>
        <w:spacing w:before="0" w:after="0" w:line="500" w:lineRule="exact"/>
        <w:ind w:firstLine="562" w:firstLineChars="200"/>
        <w:rPr>
          <w:rFonts w:hint="eastAsia" w:ascii="方正仿宋_GBK" w:hAnsi="方正仿宋_GBK" w:eastAsia="方正仿宋_GBK" w:cs="方正仿宋_GBK"/>
          <w:sz w:val="28"/>
          <w:szCs w:val="36"/>
        </w:rPr>
      </w:pPr>
      <w:bookmarkStart w:id="227" w:name="_Toc63765797"/>
      <w:bookmarkStart w:id="228" w:name="_Toc8684"/>
      <w:bookmarkStart w:id="229" w:name="_Toc12713"/>
      <w:bookmarkStart w:id="230" w:name="_Toc29742"/>
      <w:r>
        <w:rPr>
          <w:rFonts w:hint="eastAsia" w:ascii="方正仿宋_GBK" w:hAnsi="方正仿宋_GBK" w:eastAsia="方正仿宋_GBK" w:cs="方正仿宋_GBK"/>
          <w:sz w:val="28"/>
          <w:szCs w:val="36"/>
        </w:rPr>
        <w:t>（五）采购人增加合同标的权利</w:t>
      </w:r>
      <w:bookmarkEnd w:id="227"/>
      <w:bookmarkEnd w:id="228"/>
      <w:bookmarkEnd w:id="229"/>
      <w:bookmarkEnd w:id="230"/>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采购合同履行过程中，采购人需要追加与合同标的相同的货物或者服务的，在不改变合同其他条款的前提下，可以与中标人协商签订补充合同，但所有补充合同的采购金额不得超过原合同采购金额的10%。</w:t>
      </w:r>
    </w:p>
    <w:p>
      <w:pPr>
        <w:pStyle w:val="5"/>
        <w:spacing w:before="0" w:after="0" w:line="500" w:lineRule="exact"/>
        <w:ind w:firstLine="562" w:firstLineChars="200"/>
        <w:rPr>
          <w:rFonts w:hint="eastAsia" w:ascii="方正仿宋_GBK" w:hAnsi="方正仿宋_GBK" w:eastAsia="方正仿宋_GBK" w:cs="方正仿宋_GBK"/>
          <w:sz w:val="28"/>
          <w:szCs w:val="36"/>
        </w:rPr>
      </w:pPr>
      <w:bookmarkStart w:id="231" w:name="_Toc22495"/>
      <w:bookmarkStart w:id="232" w:name="_Toc63765798"/>
      <w:bookmarkStart w:id="233" w:name="_Toc24460"/>
      <w:bookmarkStart w:id="234" w:name="_Toc1059"/>
      <w:r>
        <w:rPr>
          <w:rFonts w:hint="eastAsia" w:ascii="方正仿宋_GBK" w:hAnsi="方正仿宋_GBK" w:eastAsia="方正仿宋_GBK" w:cs="方正仿宋_GBK"/>
          <w:sz w:val="28"/>
          <w:szCs w:val="36"/>
        </w:rPr>
        <w:t>（六）履行合同</w:t>
      </w:r>
      <w:bookmarkEnd w:id="231"/>
      <w:bookmarkEnd w:id="232"/>
      <w:bookmarkEnd w:id="233"/>
      <w:bookmarkEnd w:id="234"/>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1.成交人与采购人签订合同后，合同双方应严格执行合同条款，履行合同规定的义务，保证合同的顺利完成。</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2.在合同履行过程中，如发生合同纠纷，合同双方应按照《中华人民共和国民法典》的有关规定进行处理。</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3.在合同履行过程中，成交人的行为违反了政府采购法律法规及</w:t>
      </w:r>
      <w:r>
        <w:rPr>
          <w:rFonts w:hint="eastAsia" w:ascii="方正仿宋_GBK" w:hAnsi="方正仿宋_GBK" w:eastAsia="方正仿宋_GBK" w:cs="方正仿宋_GBK"/>
          <w:sz w:val="28"/>
          <w:szCs w:val="28"/>
          <w:lang w:eastAsia="zh-CN"/>
        </w:rPr>
        <w:t>相关文件</w:t>
      </w:r>
      <w:r>
        <w:rPr>
          <w:rFonts w:hint="eastAsia" w:ascii="方正仿宋_GBK" w:hAnsi="方正仿宋_GBK" w:eastAsia="方正仿宋_GBK" w:cs="方正仿宋_GBK"/>
          <w:sz w:val="28"/>
          <w:szCs w:val="28"/>
        </w:rPr>
        <w:t>规定的，采购人将报告同级财政部门给予行政处罚或者以失信行为记入诚信档案。</w:t>
      </w:r>
    </w:p>
    <w:p>
      <w:pPr>
        <w:pStyle w:val="5"/>
        <w:spacing w:before="0" w:after="0" w:line="500" w:lineRule="exact"/>
        <w:ind w:firstLine="562" w:firstLineChars="200"/>
        <w:rPr>
          <w:rFonts w:hint="eastAsia" w:ascii="方正仿宋_GBK" w:hAnsi="方正仿宋_GBK" w:eastAsia="方正仿宋_GBK" w:cs="方正仿宋_GBK"/>
          <w:sz w:val="28"/>
          <w:szCs w:val="36"/>
        </w:rPr>
      </w:pPr>
      <w:bookmarkStart w:id="235" w:name="_Toc8735"/>
      <w:bookmarkStart w:id="236" w:name="_Toc740"/>
      <w:bookmarkStart w:id="237" w:name="_Toc63765799"/>
      <w:bookmarkStart w:id="238" w:name="_Toc4250"/>
      <w:r>
        <w:rPr>
          <w:rFonts w:hint="eastAsia" w:ascii="方正仿宋_GBK" w:hAnsi="方正仿宋_GBK" w:eastAsia="方正仿宋_GBK" w:cs="方正仿宋_GBK"/>
          <w:sz w:val="28"/>
          <w:szCs w:val="36"/>
        </w:rPr>
        <w:t>（七）验收</w:t>
      </w:r>
      <w:bookmarkEnd w:id="235"/>
      <w:bookmarkEnd w:id="236"/>
      <w:bookmarkEnd w:id="237"/>
      <w:bookmarkEnd w:id="238"/>
    </w:p>
    <w:p>
      <w:pPr>
        <w:spacing w:line="500" w:lineRule="exact"/>
        <w:ind w:firstLine="560" w:firstLineChars="200"/>
        <w:rPr>
          <w:rFonts w:hint="eastAsia" w:ascii="方正仿宋_GBK" w:hAnsi="方正仿宋_GBK" w:eastAsia="方正仿宋_GBK" w:cs="方正仿宋_GBK"/>
          <w:color w:val="FF0000"/>
          <w:sz w:val="28"/>
          <w:szCs w:val="28"/>
        </w:rPr>
      </w:pPr>
      <w:r>
        <w:rPr>
          <w:rFonts w:hint="eastAsia" w:ascii="方正仿宋_GBK" w:hAnsi="方正仿宋_GBK" w:eastAsia="方正仿宋_GBK" w:cs="方正仿宋_GBK"/>
          <w:color w:val="auto"/>
          <w:sz w:val="28"/>
          <w:szCs w:val="28"/>
        </w:rPr>
        <w:t>1.</w:t>
      </w:r>
      <w:r>
        <w:rPr>
          <w:rFonts w:hint="eastAsia" w:ascii="方正仿宋_GBK" w:hAnsi="Calibri" w:eastAsia="方正仿宋_GBK" w:cs="Times New Roman"/>
          <w:color w:val="auto"/>
          <w:kern w:val="2"/>
          <w:sz w:val="28"/>
          <w:szCs w:val="28"/>
          <w:lang w:val="en-US" w:eastAsia="zh-CN" w:bidi="ar-SA"/>
        </w:rPr>
        <w:t>严格按照《财政部关于进一步加强政府采购和履约验收管理的指导意见》（财库〔2016〕205 号）、《巴中市财政局关于进一步加强政府采购项目合同履约验收管理工作的通知》（巴财采〔2021〕21 号）的要求、供应商报价文件及合同约定进行验收。</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2.采购人应当按照政府采购合同规定的技术服务、安全标准组织对供应商履约情况进行验收，并出具验收报告。验收报告应当包括每一项技术服务、安全标准的履约情况。</w:t>
      </w:r>
    </w:p>
    <w:p>
      <w:pPr>
        <w:pStyle w:val="5"/>
        <w:spacing w:before="0" w:after="0" w:line="500" w:lineRule="exact"/>
        <w:ind w:firstLine="562" w:firstLineChars="200"/>
        <w:rPr>
          <w:rFonts w:hint="eastAsia" w:ascii="方正仿宋_GBK" w:hAnsi="方正仿宋_GBK" w:eastAsia="方正仿宋_GBK" w:cs="方正仿宋_GBK"/>
          <w:sz w:val="28"/>
          <w:szCs w:val="36"/>
        </w:rPr>
      </w:pPr>
      <w:bookmarkStart w:id="239" w:name="_Toc29672"/>
      <w:bookmarkStart w:id="240" w:name="_Toc63765800"/>
      <w:bookmarkStart w:id="241" w:name="_Toc1164"/>
      <w:bookmarkStart w:id="242" w:name="_Toc8294"/>
      <w:r>
        <w:rPr>
          <w:rFonts w:hint="eastAsia" w:ascii="方正仿宋_GBK" w:hAnsi="方正仿宋_GBK" w:eastAsia="方正仿宋_GBK" w:cs="方正仿宋_GBK"/>
          <w:sz w:val="28"/>
          <w:szCs w:val="36"/>
        </w:rPr>
        <w:t>（八）支付合同价款</w:t>
      </w:r>
      <w:bookmarkEnd w:id="239"/>
      <w:bookmarkEnd w:id="240"/>
      <w:bookmarkEnd w:id="241"/>
      <w:bookmarkEnd w:id="242"/>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1.采购人向财政部门提出支付申请。</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2.财政部门根据采购人的支付申请，并对采购合同进行审核后，直接将合同价款集中支付给成交人。</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3.采购人的自有资金，由采购人直接支付给成交人或者按照有关规定执行。</w:t>
      </w:r>
    </w:p>
    <w:p>
      <w:pPr>
        <w:pStyle w:val="3"/>
        <w:spacing w:before="0" w:after="0"/>
        <w:jc w:val="center"/>
        <w:rPr>
          <w:rFonts w:hint="eastAsia" w:ascii="方正仿宋_GBK" w:hAnsi="方正仿宋_GBK" w:eastAsia="方正仿宋_GBK" w:cs="方正仿宋_GBK"/>
          <w:bCs/>
        </w:rPr>
      </w:pPr>
      <w:bookmarkStart w:id="243" w:name="_Toc143"/>
      <w:bookmarkStart w:id="244" w:name="_Toc63765801"/>
      <w:bookmarkStart w:id="245" w:name="_Toc18741"/>
      <w:bookmarkStart w:id="246" w:name="_Toc21212"/>
      <w:r>
        <w:rPr>
          <w:rFonts w:hint="eastAsia" w:ascii="方正仿宋_GBK" w:hAnsi="方正仿宋_GBK" w:eastAsia="方正仿宋_GBK" w:cs="方正仿宋_GBK"/>
          <w:bCs/>
        </w:rPr>
        <w:t>七、信用记录的查询和使用</w:t>
      </w:r>
      <w:bookmarkEnd w:id="243"/>
      <w:bookmarkEnd w:id="244"/>
      <w:bookmarkEnd w:id="245"/>
      <w:bookmarkEnd w:id="246"/>
    </w:p>
    <w:p>
      <w:pPr>
        <w:pStyle w:val="5"/>
        <w:spacing w:before="0" w:after="0" w:line="500" w:lineRule="exact"/>
        <w:ind w:firstLine="562" w:firstLineChars="200"/>
        <w:rPr>
          <w:rFonts w:hint="eastAsia" w:ascii="方正仿宋_GBK" w:hAnsi="方正仿宋_GBK" w:eastAsia="方正仿宋_GBK" w:cs="方正仿宋_GBK"/>
          <w:sz w:val="28"/>
          <w:szCs w:val="36"/>
        </w:rPr>
      </w:pPr>
      <w:bookmarkStart w:id="247" w:name="_Toc32599"/>
      <w:bookmarkStart w:id="248" w:name="_Toc22966"/>
      <w:bookmarkStart w:id="249" w:name="_Toc63765802"/>
      <w:bookmarkStart w:id="250" w:name="_Toc20889"/>
      <w:r>
        <w:rPr>
          <w:rFonts w:hint="eastAsia" w:ascii="方正仿宋_GBK" w:hAnsi="方正仿宋_GBK" w:eastAsia="方正仿宋_GBK" w:cs="方正仿宋_GBK"/>
          <w:sz w:val="28"/>
          <w:szCs w:val="36"/>
        </w:rPr>
        <w:t>（一）信用记录的查询内容及渠道</w:t>
      </w:r>
      <w:bookmarkEnd w:id="247"/>
      <w:bookmarkEnd w:id="248"/>
      <w:bookmarkEnd w:id="249"/>
      <w:bookmarkEnd w:id="250"/>
    </w:p>
    <w:p>
      <w:pPr>
        <w:spacing w:line="500" w:lineRule="exact"/>
        <w:ind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1.失信被执行人（www.creditchina.gov.cn/xinyongfuwu/shixinbeizhixingrenchaxun/?navPage）；</w:t>
      </w:r>
    </w:p>
    <w:p>
      <w:pPr>
        <w:spacing w:line="500" w:lineRule="exact"/>
        <w:ind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2.重大税收违法案件当事人名单（www.creditchina.gov.cn/xinyongfuwu/zhongdashuishouweifaanjian/?navPage）；</w:t>
      </w:r>
    </w:p>
    <w:p>
      <w:pPr>
        <w:spacing w:line="500" w:lineRule="exact"/>
        <w:ind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3.政府采购严重违法失信行为记录名单（www.ccgp.gov.cn/search/cr/）。</w:t>
      </w:r>
    </w:p>
    <w:p>
      <w:pPr>
        <w:pStyle w:val="5"/>
        <w:spacing w:before="0" w:after="0" w:line="500" w:lineRule="exact"/>
        <w:ind w:firstLine="562" w:firstLineChars="200"/>
        <w:rPr>
          <w:rFonts w:hint="eastAsia" w:ascii="方正仿宋_GBK" w:hAnsi="方正仿宋_GBK" w:eastAsia="方正仿宋_GBK" w:cs="方正仿宋_GBK"/>
          <w:sz w:val="28"/>
          <w:szCs w:val="36"/>
        </w:rPr>
      </w:pPr>
      <w:bookmarkStart w:id="251" w:name="_Toc13920"/>
      <w:bookmarkStart w:id="252" w:name="_Toc14541"/>
      <w:bookmarkStart w:id="253" w:name="_Toc63765803"/>
      <w:bookmarkStart w:id="254" w:name="_Toc8181"/>
      <w:r>
        <w:rPr>
          <w:rFonts w:hint="eastAsia" w:ascii="方正仿宋_GBK" w:hAnsi="方正仿宋_GBK" w:eastAsia="方正仿宋_GBK" w:cs="方正仿宋_GBK"/>
          <w:sz w:val="28"/>
          <w:szCs w:val="36"/>
        </w:rPr>
        <w:t>（二）信用记录的使用</w:t>
      </w:r>
      <w:bookmarkEnd w:id="251"/>
      <w:bookmarkEnd w:id="252"/>
      <w:bookmarkEnd w:id="253"/>
      <w:bookmarkEnd w:id="254"/>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1.本项目进行资格审查时，采购人对各供应商就上述内容进行现场查询，打印信用信息查询记录，交由</w:t>
      </w:r>
      <w:r>
        <w:rPr>
          <w:rFonts w:hint="eastAsia" w:ascii="方正仿宋_GBK" w:hAnsi="方正仿宋_GBK" w:eastAsia="方正仿宋_GBK" w:cs="方正仿宋_GBK"/>
          <w:sz w:val="28"/>
          <w:szCs w:val="28"/>
          <w:lang w:eastAsia="zh-CN"/>
        </w:rPr>
        <w:t>磋商</w:t>
      </w:r>
      <w:r>
        <w:rPr>
          <w:rFonts w:hint="eastAsia" w:ascii="方正仿宋_GBK" w:hAnsi="方正仿宋_GBK" w:eastAsia="方正仿宋_GBK" w:cs="方正仿宋_GBK"/>
          <w:sz w:val="28"/>
          <w:szCs w:val="28"/>
        </w:rPr>
        <w:t>小组。</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2.本项目确定成交人时，采购人对拟确定为成交人的候选人就上述内容进行查询，打印信用信息查询记录。</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3.本项目政府采购合同签订时，采购人对成交人就上述内容进行查询，打印信用信息查询记录。</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本项目进行资格审查时，查得供应商具备上述失信行为的，其资格审查不予通过。本项目确定成交人时，查得拟确定为成交人的候选人具备上述失信行为的，不予确定其为成交人。本项目政府采购合同签订时，查得成交人具备上述失信行为的，不予签订政府采购合同。</w:t>
      </w:r>
    </w:p>
    <w:p>
      <w:pPr>
        <w:pStyle w:val="3"/>
        <w:spacing w:before="0" w:after="0"/>
        <w:jc w:val="center"/>
        <w:rPr>
          <w:rFonts w:hint="eastAsia" w:ascii="方正仿宋_GBK" w:hAnsi="方正仿宋_GBK" w:eastAsia="方正仿宋_GBK" w:cs="方正仿宋_GBK"/>
          <w:bCs/>
        </w:rPr>
      </w:pPr>
      <w:bookmarkStart w:id="255" w:name="_Toc73"/>
      <w:bookmarkStart w:id="256" w:name="_Toc63765804"/>
      <w:bookmarkStart w:id="257" w:name="_Toc30641"/>
      <w:bookmarkStart w:id="258" w:name="_Toc28245"/>
      <w:r>
        <w:rPr>
          <w:rFonts w:hint="eastAsia" w:ascii="方正仿宋_GBK" w:hAnsi="方正仿宋_GBK" w:eastAsia="方正仿宋_GBK" w:cs="方正仿宋_GBK"/>
          <w:bCs/>
        </w:rPr>
        <w:t>八、行贿犯罪档案查询</w:t>
      </w:r>
      <w:bookmarkEnd w:id="255"/>
      <w:bookmarkEnd w:id="256"/>
      <w:bookmarkEnd w:id="257"/>
      <w:bookmarkEnd w:id="258"/>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（一）采购人组织对供应商的行贿犯罪档案查询。</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供应商单位及其现任法定代表人、主要负责人被查实有行贿犯罪记录的，供应商响应文件应当认定为无效；成交后未签订政府采购合同的，应当认定成交无效；成交后签订政府采购合同未履行的，应当认定成交无效，同时撤销政府采购合同；成交后签订政府采购合同且已经履行的，应当认定采购活动违法，由相关当事人承担赔偿责任。</w:t>
      </w:r>
    </w:p>
    <w:p>
      <w:pPr>
        <w:pStyle w:val="3"/>
        <w:spacing w:before="0" w:after="0"/>
        <w:jc w:val="center"/>
        <w:rPr>
          <w:rFonts w:hint="eastAsia" w:ascii="方正仿宋_GBK" w:hAnsi="方正仿宋_GBK" w:eastAsia="方正仿宋_GBK" w:cs="方正仿宋_GBK"/>
          <w:bCs/>
        </w:rPr>
      </w:pPr>
      <w:bookmarkStart w:id="259" w:name="_Toc30697"/>
      <w:bookmarkStart w:id="260" w:name="_Toc63765805"/>
      <w:bookmarkStart w:id="261" w:name="_Toc16064"/>
      <w:bookmarkStart w:id="262" w:name="_Toc19279"/>
      <w:bookmarkStart w:id="263" w:name="_Hlk517358847"/>
      <w:r>
        <w:rPr>
          <w:rFonts w:hint="eastAsia" w:ascii="方正仿宋_GBK" w:hAnsi="方正仿宋_GBK" w:eastAsia="方正仿宋_GBK" w:cs="方正仿宋_GBK"/>
          <w:bCs/>
        </w:rPr>
        <w:t>九、强制采购政策要求</w:t>
      </w:r>
      <w:bookmarkEnd w:id="259"/>
      <w:bookmarkEnd w:id="260"/>
      <w:bookmarkEnd w:id="261"/>
      <w:bookmarkEnd w:id="262"/>
    </w:p>
    <w:bookmarkEnd w:id="263"/>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按照政府采购强制采购政策的规定，强制采购的品目在节能产品政府采购品目清单内以“★”在标注。</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本项目的采购内容涉及强制采购品目的，供应商对应的报价产品应通过中国政府采购网“节能产品查询”（http://www.ccgp.gov.cn/search/jnqdchaxun.htm）可查。</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本项目提交响应文件的截止之日时，国家关于强制采购政策有新规定的，按照新规定执行。</w:t>
      </w:r>
    </w:p>
    <w:p>
      <w:pPr>
        <w:pStyle w:val="3"/>
        <w:spacing w:before="0" w:after="0"/>
        <w:jc w:val="center"/>
        <w:rPr>
          <w:rFonts w:hint="eastAsia" w:ascii="方正仿宋_GBK" w:hAnsi="方正仿宋_GBK" w:eastAsia="方正仿宋_GBK" w:cs="方正仿宋_GBK"/>
          <w:bCs/>
        </w:rPr>
      </w:pPr>
      <w:bookmarkStart w:id="264" w:name="_Toc63765806"/>
      <w:bookmarkStart w:id="265" w:name="_Toc27070"/>
      <w:bookmarkStart w:id="266" w:name="_Toc21950"/>
      <w:bookmarkStart w:id="267" w:name="_Toc16069"/>
      <w:r>
        <w:rPr>
          <w:rFonts w:hint="eastAsia" w:ascii="方正仿宋_GBK" w:hAnsi="方正仿宋_GBK" w:eastAsia="方正仿宋_GBK" w:cs="方正仿宋_GBK"/>
          <w:bCs/>
        </w:rPr>
        <w:t>十、供应商的禁止性行为要求</w:t>
      </w:r>
      <w:bookmarkEnd w:id="264"/>
      <w:bookmarkEnd w:id="265"/>
      <w:bookmarkEnd w:id="266"/>
      <w:bookmarkEnd w:id="267"/>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（一）供应商有下列情形之一的，取消其参加</w:t>
      </w:r>
      <w:r>
        <w:rPr>
          <w:rFonts w:hint="eastAsia" w:ascii="方正仿宋_GBK" w:hAnsi="方正仿宋_GBK" w:eastAsia="方正仿宋_GBK" w:cs="方正仿宋_GBK"/>
          <w:sz w:val="28"/>
          <w:szCs w:val="28"/>
          <w:lang w:eastAsia="zh-CN"/>
        </w:rPr>
        <w:t>磋商</w:t>
      </w:r>
      <w:r>
        <w:rPr>
          <w:rFonts w:hint="eastAsia" w:ascii="方正仿宋_GBK" w:hAnsi="方正仿宋_GBK" w:eastAsia="方正仿宋_GBK" w:cs="方正仿宋_GBK"/>
          <w:sz w:val="28"/>
          <w:szCs w:val="28"/>
        </w:rPr>
        <w:t>或者成交资格，并将有关情况反映至财政部门或者有关监督部门依法处理：</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1.提供虚假材料参加采购活动的；</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lang w:eastAsia="zh-CN"/>
        </w:rPr>
        <w:t>磋商</w:t>
      </w:r>
      <w:r>
        <w:rPr>
          <w:rFonts w:hint="eastAsia" w:ascii="方正仿宋_GBK" w:hAnsi="方正仿宋_GBK" w:eastAsia="方正仿宋_GBK" w:cs="方正仿宋_GBK"/>
          <w:sz w:val="28"/>
          <w:szCs w:val="28"/>
        </w:rPr>
        <w:t>过程中作出虚假承诺的；</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3.采取零报价或变相零报价、低于成本价、诋毁其他供应商及其他不正当手段竞争的；</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4.与采购人、采购代理机构、</w:t>
      </w:r>
      <w:r>
        <w:rPr>
          <w:rFonts w:hint="eastAsia" w:ascii="方正仿宋_GBK" w:hAnsi="方正仿宋_GBK" w:eastAsia="方正仿宋_GBK" w:cs="方正仿宋_GBK"/>
          <w:sz w:val="28"/>
          <w:szCs w:val="28"/>
          <w:lang w:eastAsia="zh-CN"/>
        </w:rPr>
        <w:t>磋商</w:t>
      </w:r>
      <w:r>
        <w:rPr>
          <w:rFonts w:hint="eastAsia" w:ascii="方正仿宋_GBK" w:hAnsi="方正仿宋_GBK" w:eastAsia="方正仿宋_GBK" w:cs="方正仿宋_GBK"/>
          <w:sz w:val="28"/>
          <w:szCs w:val="28"/>
        </w:rPr>
        <w:t>小组成员或者其他供应商串通的；</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5.不依法签订政府采购合同的；</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6.不按照政府采购合同约定和响应文件承诺履约的；</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7.向采购人、采购代理机构、</w:t>
      </w:r>
      <w:r>
        <w:rPr>
          <w:rFonts w:hint="eastAsia" w:ascii="方正仿宋_GBK" w:hAnsi="方正仿宋_GBK" w:eastAsia="方正仿宋_GBK" w:cs="方正仿宋_GBK"/>
          <w:sz w:val="28"/>
          <w:szCs w:val="28"/>
          <w:lang w:eastAsia="zh-CN"/>
        </w:rPr>
        <w:t>磋商</w:t>
      </w:r>
      <w:r>
        <w:rPr>
          <w:rFonts w:hint="eastAsia" w:ascii="方正仿宋_GBK" w:hAnsi="方正仿宋_GBK" w:eastAsia="方正仿宋_GBK" w:cs="方正仿宋_GBK"/>
          <w:sz w:val="28"/>
          <w:szCs w:val="28"/>
        </w:rPr>
        <w:t>小组成员行贿或者提供不正当好处的。</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供应商出现本款第1至6项情形，给采购人、其他供应商造成损失的，应当承担赔偿责任。</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通过书面审查的供应商拒绝参加</w:t>
      </w:r>
      <w:r>
        <w:rPr>
          <w:rFonts w:hint="eastAsia" w:ascii="方正仿宋_GBK" w:hAnsi="方正仿宋_GBK" w:eastAsia="方正仿宋_GBK" w:cs="方正仿宋_GBK"/>
          <w:sz w:val="28"/>
          <w:szCs w:val="28"/>
          <w:lang w:eastAsia="zh-CN"/>
        </w:rPr>
        <w:t>磋商</w:t>
      </w:r>
      <w:r>
        <w:rPr>
          <w:rFonts w:hint="eastAsia" w:ascii="方正仿宋_GBK" w:hAnsi="方正仿宋_GBK" w:eastAsia="方正仿宋_GBK" w:cs="方正仿宋_GBK"/>
          <w:sz w:val="28"/>
          <w:szCs w:val="28"/>
        </w:rPr>
        <w:t>的，将对其给予通报批评。</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（二）供应商派出的代表应在本项目评审活动结束前保持通讯畅通。因通讯不畅导致供应商无法有效参与采购活动的后果由供应商独自承担。</w:t>
      </w:r>
    </w:p>
    <w:p>
      <w:pPr>
        <w:pStyle w:val="3"/>
        <w:spacing w:before="0" w:after="0"/>
        <w:jc w:val="center"/>
        <w:rPr>
          <w:rFonts w:hint="eastAsia" w:ascii="方正仿宋_GBK" w:hAnsi="方正仿宋_GBK" w:eastAsia="方正仿宋_GBK" w:cs="方正仿宋_GBK"/>
          <w:bCs/>
        </w:rPr>
      </w:pPr>
      <w:bookmarkStart w:id="268" w:name="_Toc25777"/>
      <w:bookmarkStart w:id="269" w:name="_Toc63765807"/>
      <w:bookmarkStart w:id="270" w:name="_Toc339"/>
      <w:bookmarkStart w:id="271" w:name="_Toc23844"/>
      <w:r>
        <w:rPr>
          <w:rFonts w:hint="eastAsia" w:ascii="方正仿宋_GBK" w:hAnsi="方正仿宋_GBK" w:eastAsia="方正仿宋_GBK" w:cs="方正仿宋_GBK"/>
          <w:bCs/>
        </w:rPr>
        <w:t>十一、询问、质疑和投诉</w:t>
      </w:r>
      <w:bookmarkEnd w:id="268"/>
      <w:bookmarkEnd w:id="269"/>
      <w:bookmarkEnd w:id="270"/>
      <w:bookmarkEnd w:id="271"/>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（一）办理依据</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询问、质疑、投诉的接收和处理按照《中华人民共和国政府采购法》、《中华人民共和国政府采购法实施条例》、《政府采购货物和服务非招标采购方式管理办法》、《政府采购质疑和投诉办法》等规定办理。</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（二）关于质疑事宜的主体、范围、时限和处理方式</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1.提出质疑的供应商应当是参与所质疑项目采购活动的供应商。</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2.供应商认为采购文件、采购过程、成交结果使自己的权益受到损害的，可以在知道或者应知其权益受到损害之日起7个工作日内，以书面形式向采购人、采购代理机构提出质疑，并现场提交。</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3.按照采购人和</w:t>
      </w:r>
      <w:bookmarkStart w:id="272" w:name="【Bobole_代理机构名称_143】"/>
      <w:r>
        <w:rPr>
          <w:rFonts w:hint="eastAsia" w:ascii="方正仿宋_GBK" w:hAnsi="方正仿宋_GBK" w:eastAsia="方正仿宋_GBK" w:cs="方正仿宋_GBK"/>
          <w:sz w:val="28"/>
          <w:szCs w:val="28"/>
        </w:rPr>
        <w:t>四川振嘉工程招标代理有限公司</w:t>
      </w:r>
      <w:bookmarkEnd w:id="272"/>
      <w:r>
        <w:rPr>
          <w:rFonts w:hint="eastAsia" w:ascii="方正仿宋_GBK" w:hAnsi="方正仿宋_GBK" w:eastAsia="方正仿宋_GBK" w:cs="方正仿宋_GBK"/>
          <w:sz w:val="28"/>
          <w:szCs w:val="28"/>
        </w:rPr>
        <w:t>的《委托协议》，供应商关于采购文件资格条件、技术和服务要求询问和质疑，应当向采购人提出；除前述范围外的询问和质疑，应当向</w:t>
      </w:r>
      <w:bookmarkStart w:id="273" w:name="【Bobole_代理机构名称_144】"/>
      <w:r>
        <w:rPr>
          <w:rFonts w:hint="eastAsia" w:ascii="方正仿宋_GBK" w:hAnsi="方正仿宋_GBK" w:eastAsia="方正仿宋_GBK" w:cs="方正仿宋_GBK"/>
          <w:sz w:val="28"/>
          <w:szCs w:val="28"/>
        </w:rPr>
        <w:t>四川振嘉工程招标代理有限公司</w:t>
      </w:r>
      <w:bookmarkEnd w:id="273"/>
      <w:r>
        <w:rPr>
          <w:rFonts w:hint="eastAsia" w:ascii="方正仿宋_GBK" w:hAnsi="方正仿宋_GBK" w:eastAsia="方正仿宋_GBK" w:cs="方正仿宋_GBK"/>
          <w:sz w:val="28"/>
          <w:szCs w:val="28"/>
        </w:rPr>
        <w:t>提出。</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4.本项目要求供应商在法定质疑期内针对同一采购程序环节的质疑应当一次性提出。</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5.质疑函应当包括以下内容，并由供应商签章：</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（1）供应商的姓名或者名称、地址、邮编、联系人及联系电话；</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（2）质疑项目的名称、编号；</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（3）具体、明确的质疑事项和与质疑事项相关的请求；</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（4）事实依据；</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（5）必要的法律依据；</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（6）提出质疑的日期。</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6.采购人、采购代理机构应当在收到质疑函后7个工作日内作出答复，并以书面形式通知质疑供应商和其他有关供应商。质疑答复的内容不得涉及商业秘密。</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7.采购人、采购代理机构认为供应商质疑不成立，或者成立但未对成交结果构成影响的，继续开展采购活动；认为供应商质疑成立且影响或者可能影响成交结果的，按照下列情况处理：</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（1）对采购文件提出的质疑，依法通过澄清或者修改可以继续开展采购活动的，澄清或者修改采购文件后继续开展采购活动；否则应当修改采购文件后重新开展采购活动。</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（2）对采购过程、成交或者成交结果提出的质疑，合格供应商符合法定数量时，可以从合格的成交或者成交候选人中另行确定成交供应商的，应当依法另行确定成交供应商；否则应当重新开展采购活动。</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质疑答复导致成交结果改变的，采购人或者采购代理机构应当将有关情况书面报告本级财政部门。</w:t>
      </w:r>
    </w:p>
    <w:p>
      <w:pPr>
        <w:spacing w:line="500" w:lineRule="exact"/>
        <w:ind w:firstLine="560" w:firstLineChars="200"/>
        <w:rPr>
          <w:rFonts w:hint="eastAsia" w:ascii="方正仿宋_GBK" w:hAnsi="方正仿宋_GBK" w:eastAsia="方正仿宋_GBK" w:cs="方正仿宋_GBK"/>
          <w:color w:val="FF0000"/>
          <w:sz w:val="28"/>
          <w:szCs w:val="28"/>
        </w:rPr>
      </w:pPr>
    </w:p>
    <w:p>
      <w:pPr>
        <w:pStyle w:val="3"/>
        <w:spacing w:before="0" w:after="0"/>
        <w:jc w:val="center"/>
        <w:rPr>
          <w:rFonts w:hint="eastAsia" w:ascii="方正仿宋_GBK" w:hAnsi="方正仿宋_GBK" w:eastAsia="方正仿宋_GBK" w:cs="方正仿宋_GBK"/>
          <w:bCs/>
        </w:rPr>
      </w:pPr>
      <w:bookmarkStart w:id="274" w:name="_Toc63765808"/>
      <w:bookmarkStart w:id="275" w:name="_Toc12991"/>
      <w:bookmarkStart w:id="276" w:name="_Toc19913"/>
      <w:bookmarkStart w:id="277" w:name="_Toc4086"/>
      <w:r>
        <w:rPr>
          <w:rFonts w:hint="eastAsia" w:ascii="方正仿宋_GBK" w:hAnsi="方正仿宋_GBK" w:eastAsia="方正仿宋_GBK" w:cs="方正仿宋_GBK"/>
          <w:bCs/>
        </w:rPr>
        <w:t>十二、将导致投标被拒绝或无效的情形</w:t>
      </w:r>
      <w:bookmarkEnd w:id="274"/>
      <w:bookmarkEnd w:id="275"/>
      <w:bookmarkEnd w:id="276"/>
      <w:bookmarkEnd w:id="277"/>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6337"/>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2" w:type="dxa"/>
            <w:shd w:val="clear" w:color="auto" w:fill="auto"/>
            <w:noWrap/>
            <w:vAlign w:val="center"/>
          </w:tcPr>
          <w:p>
            <w:pPr>
              <w:spacing w:line="500" w:lineRule="exact"/>
              <w:jc w:val="center"/>
              <w:rPr>
                <w:rFonts w:hint="eastAsia" w:ascii="方正仿宋_GBK" w:hAnsi="方正仿宋_GBK" w:eastAsia="方正仿宋_GBK" w:cs="方正仿宋_GBK"/>
                <w:b/>
                <w:sz w:val="22"/>
              </w:rPr>
            </w:pPr>
            <w:bookmarkStart w:id="278" w:name="_Hlk34665817"/>
            <w:r>
              <w:rPr>
                <w:rFonts w:hint="eastAsia" w:ascii="方正仿宋_GBK" w:hAnsi="方正仿宋_GBK" w:eastAsia="方正仿宋_GBK" w:cs="方正仿宋_GBK"/>
                <w:b/>
                <w:sz w:val="22"/>
              </w:rPr>
              <w:t>序号</w:t>
            </w:r>
          </w:p>
        </w:tc>
        <w:tc>
          <w:tcPr>
            <w:tcW w:w="6337" w:type="dxa"/>
            <w:shd w:val="clear" w:color="auto" w:fill="auto"/>
            <w:noWrap/>
            <w:vAlign w:val="center"/>
          </w:tcPr>
          <w:p>
            <w:pPr>
              <w:spacing w:line="500" w:lineRule="exact"/>
              <w:jc w:val="center"/>
              <w:rPr>
                <w:rFonts w:hint="eastAsia" w:ascii="方正仿宋_GBK" w:hAnsi="方正仿宋_GBK" w:eastAsia="方正仿宋_GBK" w:cs="方正仿宋_GBK"/>
                <w:b/>
                <w:sz w:val="22"/>
              </w:rPr>
            </w:pPr>
            <w:r>
              <w:rPr>
                <w:rFonts w:hint="eastAsia" w:ascii="方正仿宋_GBK" w:hAnsi="方正仿宋_GBK" w:eastAsia="方正仿宋_GBK" w:cs="方正仿宋_GBK"/>
                <w:b/>
                <w:sz w:val="22"/>
              </w:rPr>
              <w:t>情形</w:t>
            </w:r>
          </w:p>
        </w:tc>
        <w:tc>
          <w:tcPr>
            <w:tcW w:w="1413" w:type="dxa"/>
            <w:shd w:val="clear" w:color="auto" w:fill="auto"/>
            <w:noWrap/>
            <w:vAlign w:val="center"/>
          </w:tcPr>
          <w:p>
            <w:pPr>
              <w:spacing w:line="500" w:lineRule="exact"/>
              <w:jc w:val="center"/>
              <w:rPr>
                <w:rFonts w:hint="eastAsia" w:ascii="方正仿宋_GBK" w:hAnsi="方正仿宋_GBK" w:eastAsia="方正仿宋_GBK" w:cs="方正仿宋_GBK"/>
                <w:b/>
                <w:sz w:val="22"/>
              </w:rPr>
            </w:pPr>
            <w:r>
              <w:rPr>
                <w:rFonts w:hint="eastAsia" w:ascii="方正仿宋_GBK" w:hAnsi="方正仿宋_GBK" w:eastAsia="方正仿宋_GBK" w:cs="方正仿宋_GBK"/>
                <w:b/>
                <w:sz w:val="22"/>
              </w:rPr>
              <w:t>处理结果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shd w:val="clear" w:color="auto" w:fill="auto"/>
            <w:noWrap/>
            <w:vAlign w:val="center"/>
          </w:tcPr>
          <w:p>
            <w:pPr>
              <w:spacing w:line="500" w:lineRule="exact"/>
              <w:jc w:val="center"/>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1</w:t>
            </w:r>
          </w:p>
        </w:tc>
        <w:tc>
          <w:tcPr>
            <w:tcW w:w="6337" w:type="dxa"/>
            <w:shd w:val="clear" w:color="auto" w:fill="auto"/>
            <w:noWrap/>
            <w:vAlign w:val="center"/>
          </w:tcPr>
          <w:p>
            <w:pPr>
              <w:spacing w:line="500" w:lineRule="exact"/>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供应商未按照磋商邀请规定的方式获取磋商文件</w:t>
            </w:r>
          </w:p>
        </w:tc>
        <w:tc>
          <w:tcPr>
            <w:tcW w:w="1413" w:type="dxa"/>
            <w:shd w:val="clear" w:color="auto" w:fill="auto"/>
            <w:noWrap/>
            <w:vAlign w:val="center"/>
          </w:tcPr>
          <w:p>
            <w:pPr>
              <w:spacing w:line="500" w:lineRule="exact"/>
              <w:jc w:val="center"/>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响应被拒绝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shd w:val="clear" w:color="auto" w:fill="auto"/>
            <w:noWrap/>
            <w:vAlign w:val="center"/>
          </w:tcPr>
          <w:p>
            <w:pPr>
              <w:spacing w:line="500" w:lineRule="exact"/>
              <w:jc w:val="center"/>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2</w:t>
            </w:r>
          </w:p>
        </w:tc>
        <w:tc>
          <w:tcPr>
            <w:tcW w:w="6337" w:type="dxa"/>
            <w:shd w:val="clear" w:color="auto" w:fill="auto"/>
            <w:noWrap/>
            <w:vAlign w:val="center"/>
          </w:tcPr>
          <w:p>
            <w:pPr>
              <w:spacing w:line="500" w:lineRule="exact"/>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供应商未在提交首次响应文件的截止时间前有效提交响应文件</w:t>
            </w:r>
          </w:p>
        </w:tc>
        <w:tc>
          <w:tcPr>
            <w:tcW w:w="1413" w:type="dxa"/>
            <w:shd w:val="clear" w:color="auto" w:fill="auto"/>
            <w:noWrap/>
            <w:vAlign w:val="center"/>
          </w:tcPr>
          <w:p>
            <w:pPr>
              <w:spacing w:line="500" w:lineRule="exact"/>
              <w:jc w:val="center"/>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响应被拒绝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shd w:val="clear" w:color="auto" w:fill="auto"/>
            <w:noWrap/>
            <w:vAlign w:val="center"/>
          </w:tcPr>
          <w:p>
            <w:pPr>
              <w:spacing w:line="500" w:lineRule="exact"/>
              <w:jc w:val="center"/>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3</w:t>
            </w:r>
          </w:p>
        </w:tc>
        <w:tc>
          <w:tcPr>
            <w:tcW w:w="6337" w:type="dxa"/>
            <w:shd w:val="clear" w:color="auto" w:fill="auto"/>
            <w:noWrap/>
            <w:vAlign w:val="center"/>
          </w:tcPr>
          <w:p>
            <w:pPr>
              <w:spacing w:line="500" w:lineRule="exact"/>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供应商不符合磋商文件第二章“充分、公平竞争保障措施”</w:t>
            </w:r>
          </w:p>
        </w:tc>
        <w:tc>
          <w:tcPr>
            <w:tcW w:w="1413" w:type="dxa"/>
            <w:shd w:val="clear" w:color="auto" w:fill="auto"/>
            <w:noWrap/>
            <w:vAlign w:val="center"/>
          </w:tcPr>
          <w:p>
            <w:pPr>
              <w:spacing w:line="500" w:lineRule="exact"/>
              <w:jc w:val="center"/>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shd w:val="clear" w:color="auto" w:fill="auto"/>
            <w:noWrap/>
            <w:vAlign w:val="center"/>
          </w:tcPr>
          <w:p>
            <w:pPr>
              <w:spacing w:line="500" w:lineRule="exact"/>
              <w:jc w:val="center"/>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4</w:t>
            </w:r>
          </w:p>
        </w:tc>
        <w:tc>
          <w:tcPr>
            <w:tcW w:w="6337" w:type="dxa"/>
            <w:shd w:val="clear" w:color="auto" w:fill="auto"/>
            <w:noWrap/>
            <w:vAlign w:val="center"/>
          </w:tcPr>
          <w:p>
            <w:pPr>
              <w:spacing w:line="500" w:lineRule="exact"/>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供应商未在首次提交的响应文件中作出第一轮报价或供应商的任意一轮报价高于本项目所设最高限价的</w:t>
            </w:r>
          </w:p>
        </w:tc>
        <w:tc>
          <w:tcPr>
            <w:tcW w:w="1413" w:type="dxa"/>
            <w:shd w:val="clear" w:color="auto" w:fill="auto"/>
            <w:noWrap/>
            <w:vAlign w:val="center"/>
          </w:tcPr>
          <w:p>
            <w:pPr>
              <w:spacing w:line="500" w:lineRule="exact"/>
              <w:jc w:val="center"/>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shd w:val="clear" w:color="auto" w:fill="auto"/>
            <w:noWrap/>
            <w:vAlign w:val="center"/>
          </w:tcPr>
          <w:p>
            <w:pPr>
              <w:spacing w:line="500" w:lineRule="exact"/>
              <w:jc w:val="center"/>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5</w:t>
            </w:r>
          </w:p>
        </w:tc>
        <w:tc>
          <w:tcPr>
            <w:tcW w:w="6337" w:type="dxa"/>
            <w:shd w:val="clear" w:color="auto" w:fill="auto"/>
            <w:noWrap/>
            <w:vAlign w:val="center"/>
          </w:tcPr>
          <w:p>
            <w:pPr>
              <w:spacing w:line="500" w:lineRule="exact"/>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供应商报价低于本项目最高限价的50%，或者低于其他有效供应商报价算术平均价的40%，有可能影响采购项目的实施质量或者不能诚信履约，供应商按磋商小组要求作出的澄清、说明、补正材料未获磋商小组采信</w:t>
            </w:r>
          </w:p>
        </w:tc>
        <w:tc>
          <w:tcPr>
            <w:tcW w:w="1413" w:type="dxa"/>
            <w:shd w:val="clear" w:color="auto" w:fill="auto"/>
            <w:noWrap/>
            <w:vAlign w:val="center"/>
          </w:tcPr>
          <w:p>
            <w:pPr>
              <w:spacing w:line="500" w:lineRule="exact"/>
              <w:jc w:val="center"/>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shd w:val="clear" w:color="auto" w:fill="auto"/>
            <w:noWrap/>
            <w:vAlign w:val="center"/>
          </w:tcPr>
          <w:p>
            <w:pPr>
              <w:spacing w:line="500" w:lineRule="exact"/>
              <w:jc w:val="center"/>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6</w:t>
            </w:r>
          </w:p>
        </w:tc>
        <w:tc>
          <w:tcPr>
            <w:tcW w:w="6337" w:type="dxa"/>
            <w:shd w:val="clear" w:color="auto" w:fill="auto"/>
            <w:noWrap/>
            <w:vAlign w:val="center"/>
          </w:tcPr>
          <w:p>
            <w:pPr>
              <w:spacing w:line="500" w:lineRule="exact"/>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供应商对同一标的存在不同的报价，且在本项目报价修正规定之外</w:t>
            </w:r>
          </w:p>
        </w:tc>
        <w:tc>
          <w:tcPr>
            <w:tcW w:w="1413" w:type="dxa"/>
            <w:shd w:val="clear" w:color="auto" w:fill="auto"/>
            <w:noWrap/>
            <w:vAlign w:val="center"/>
          </w:tcPr>
          <w:p>
            <w:pPr>
              <w:spacing w:line="500" w:lineRule="exact"/>
              <w:jc w:val="center"/>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shd w:val="clear" w:color="auto" w:fill="auto"/>
            <w:noWrap/>
            <w:vAlign w:val="center"/>
          </w:tcPr>
          <w:p>
            <w:pPr>
              <w:spacing w:line="500" w:lineRule="exact"/>
              <w:jc w:val="center"/>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7</w:t>
            </w:r>
          </w:p>
        </w:tc>
        <w:tc>
          <w:tcPr>
            <w:tcW w:w="6337" w:type="dxa"/>
            <w:shd w:val="clear" w:color="auto" w:fill="auto"/>
            <w:noWrap/>
            <w:vAlign w:val="center"/>
          </w:tcPr>
          <w:p>
            <w:pPr>
              <w:spacing w:line="500" w:lineRule="exact"/>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响应报价不是固定不变的，包含有选择或可调整的报价</w:t>
            </w:r>
          </w:p>
        </w:tc>
        <w:tc>
          <w:tcPr>
            <w:tcW w:w="1413" w:type="dxa"/>
            <w:shd w:val="clear" w:color="auto" w:fill="auto"/>
            <w:noWrap/>
            <w:vAlign w:val="center"/>
          </w:tcPr>
          <w:p>
            <w:pPr>
              <w:spacing w:line="500" w:lineRule="exact"/>
              <w:jc w:val="center"/>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shd w:val="clear" w:color="auto" w:fill="auto"/>
            <w:noWrap/>
            <w:vAlign w:val="center"/>
          </w:tcPr>
          <w:p>
            <w:pPr>
              <w:spacing w:line="500" w:lineRule="exact"/>
              <w:jc w:val="center"/>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8</w:t>
            </w:r>
          </w:p>
        </w:tc>
        <w:tc>
          <w:tcPr>
            <w:tcW w:w="6337" w:type="dxa"/>
            <w:shd w:val="clear" w:color="auto" w:fill="auto"/>
            <w:noWrap/>
            <w:vAlign w:val="center"/>
          </w:tcPr>
          <w:p>
            <w:pPr>
              <w:spacing w:line="500" w:lineRule="exact"/>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供应商报价被修正，但供应商不予确认</w:t>
            </w:r>
          </w:p>
        </w:tc>
        <w:tc>
          <w:tcPr>
            <w:tcW w:w="1413" w:type="dxa"/>
            <w:shd w:val="clear" w:color="auto" w:fill="auto"/>
            <w:noWrap/>
            <w:vAlign w:val="center"/>
          </w:tcPr>
          <w:p>
            <w:pPr>
              <w:spacing w:line="500" w:lineRule="exact"/>
              <w:jc w:val="center"/>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shd w:val="clear" w:color="auto" w:fill="auto"/>
            <w:noWrap/>
            <w:vAlign w:val="center"/>
          </w:tcPr>
          <w:p>
            <w:pPr>
              <w:spacing w:line="500" w:lineRule="exact"/>
              <w:jc w:val="center"/>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9</w:t>
            </w:r>
          </w:p>
        </w:tc>
        <w:tc>
          <w:tcPr>
            <w:tcW w:w="6337" w:type="dxa"/>
            <w:shd w:val="clear" w:color="auto" w:fill="auto"/>
            <w:noWrap/>
            <w:vAlign w:val="center"/>
          </w:tcPr>
          <w:p>
            <w:pPr>
              <w:spacing w:line="500" w:lineRule="exact"/>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在未提高响应文件中承诺的产品及其服务质量的情况下，供应商的最后报价高于对该项目之前的报价</w:t>
            </w:r>
          </w:p>
        </w:tc>
        <w:tc>
          <w:tcPr>
            <w:tcW w:w="1413" w:type="dxa"/>
            <w:shd w:val="clear" w:color="auto" w:fill="auto"/>
            <w:noWrap/>
            <w:vAlign w:val="center"/>
          </w:tcPr>
          <w:p>
            <w:pPr>
              <w:spacing w:line="500" w:lineRule="exact"/>
              <w:jc w:val="center"/>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shd w:val="clear" w:color="auto" w:fill="auto"/>
            <w:noWrap/>
            <w:vAlign w:val="center"/>
          </w:tcPr>
          <w:p>
            <w:pPr>
              <w:spacing w:line="500" w:lineRule="exact"/>
              <w:jc w:val="center"/>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10</w:t>
            </w:r>
          </w:p>
        </w:tc>
        <w:tc>
          <w:tcPr>
            <w:tcW w:w="6337" w:type="dxa"/>
            <w:shd w:val="clear" w:color="auto" w:fill="auto"/>
            <w:noWrap/>
            <w:vAlign w:val="center"/>
          </w:tcPr>
          <w:p>
            <w:pPr>
              <w:spacing w:line="500" w:lineRule="exact"/>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采购项目不允许分包、转包，供应商在响应文件中载明了将政府采购合同约定的部分工作交由他人完成</w:t>
            </w:r>
          </w:p>
        </w:tc>
        <w:tc>
          <w:tcPr>
            <w:tcW w:w="1413" w:type="dxa"/>
            <w:shd w:val="clear" w:color="auto" w:fill="auto"/>
            <w:noWrap/>
            <w:vAlign w:val="center"/>
          </w:tcPr>
          <w:p>
            <w:pPr>
              <w:spacing w:line="500" w:lineRule="exact"/>
              <w:jc w:val="center"/>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shd w:val="clear" w:color="auto" w:fill="auto"/>
            <w:noWrap/>
            <w:vAlign w:val="center"/>
          </w:tcPr>
          <w:p>
            <w:pPr>
              <w:spacing w:line="500" w:lineRule="exact"/>
              <w:jc w:val="center"/>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11</w:t>
            </w:r>
          </w:p>
        </w:tc>
        <w:tc>
          <w:tcPr>
            <w:tcW w:w="6337" w:type="dxa"/>
            <w:shd w:val="clear" w:color="auto" w:fill="auto"/>
            <w:noWrap/>
            <w:vAlign w:val="center"/>
          </w:tcPr>
          <w:p>
            <w:pPr>
              <w:spacing w:line="500" w:lineRule="exact"/>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响应文件组成明显不符合磋商文件的规定要求，影响磋商小组评判的</w:t>
            </w:r>
          </w:p>
        </w:tc>
        <w:tc>
          <w:tcPr>
            <w:tcW w:w="1413" w:type="dxa"/>
            <w:shd w:val="clear" w:color="auto" w:fill="auto"/>
            <w:noWrap/>
            <w:vAlign w:val="center"/>
          </w:tcPr>
          <w:p>
            <w:pPr>
              <w:spacing w:line="500" w:lineRule="exact"/>
              <w:jc w:val="center"/>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shd w:val="clear" w:color="auto" w:fill="auto"/>
            <w:noWrap/>
            <w:vAlign w:val="center"/>
          </w:tcPr>
          <w:p>
            <w:pPr>
              <w:spacing w:line="500" w:lineRule="exact"/>
              <w:jc w:val="center"/>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12</w:t>
            </w:r>
          </w:p>
        </w:tc>
        <w:tc>
          <w:tcPr>
            <w:tcW w:w="6337" w:type="dxa"/>
            <w:shd w:val="clear" w:color="auto" w:fill="auto"/>
            <w:noWrap/>
            <w:vAlign w:val="center"/>
          </w:tcPr>
          <w:p>
            <w:pPr>
              <w:spacing w:line="500" w:lineRule="exact"/>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响应文件的格式、语言、计量单位、报价货币、知识产权或响应有效期不符合磋商文件的规定</w:t>
            </w:r>
          </w:p>
        </w:tc>
        <w:tc>
          <w:tcPr>
            <w:tcW w:w="1413" w:type="dxa"/>
            <w:shd w:val="clear" w:color="auto" w:fill="auto"/>
            <w:noWrap/>
            <w:vAlign w:val="center"/>
          </w:tcPr>
          <w:p>
            <w:pPr>
              <w:spacing w:line="500" w:lineRule="exact"/>
              <w:jc w:val="center"/>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shd w:val="clear" w:color="auto" w:fill="auto"/>
            <w:noWrap/>
            <w:vAlign w:val="center"/>
          </w:tcPr>
          <w:p>
            <w:pPr>
              <w:spacing w:line="500" w:lineRule="exact"/>
              <w:jc w:val="center"/>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13</w:t>
            </w:r>
          </w:p>
        </w:tc>
        <w:tc>
          <w:tcPr>
            <w:tcW w:w="6337" w:type="dxa"/>
            <w:shd w:val="clear" w:color="auto" w:fill="auto"/>
            <w:noWrap/>
            <w:vAlign w:val="center"/>
          </w:tcPr>
          <w:p>
            <w:pPr>
              <w:spacing w:line="500" w:lineRule="exact"/>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磋商文件提出了实质性格式，但响应文件未予遵照的</w:t>
            </w:r>
          </w:p>
        </w:tc>
        <w:tc>
          <w:tcPr>
            <w:tcW w:w="1413" w:type="dxa"/>
            <w:shd w:val="clear" w:color="auto" w:fill="auto"/>
            <w:noWrap/>
            <w:vAlign w:val="center"/>
          </w:tcPr>
          <w:p>
            <w:pPr>
              <w:spacing w:line="500" w:lineRule="exact"/>
              <w:jc w:val="center"/>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shd w:val="clear" w:color="auto" w:fill="auto"/>
            <w:noWrap/>
            <w:vAlign w:val="center"/>
          </w:tcPr>
          <w:p>
            <w:pPr>
              <w:spacing w:line="500" w:lineRule="exact"/>
              <w:jc w:val="center"/>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14</w:t>
            </w:r>
          </w:p>
        </w:tc>
        <w:tc>
          <w:tcPr>
            <w:tcW w:w="6337" w:type="dxa"/>
            <w:shd w:val="clear" w:color="auto" w:fill="auto"/>
            <w:noWrap/>
            <w:vAlign w:val="center"/>
          </w:tcPr>
          <w:p>
            <w:pPr>
              <w:spacing w:line="500" w:lineRule="exact"/>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响应文件未通过资格审查的</w:t>
            </w:r>
          </w:p>
        </w:tc>
        <w:tc>
          <w:tcPr>
            <w:tcW w:w="1413" w:type="dxa"/>
            <w:shd w:val="clear" w:color="auto" w:fill="auto"/>
            <w:noWrap/>
            <w:vAlign w:val="center"/>
          </w:tcPr>
          <w:p>
            <w:pPr>
              <w:spacing w:line="500" w:lineRule="exact"/>
              <w:jc w:val="center"/>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shd w:val="clear" w:color="auto" w:fill="auto"/>
            <w:noWrap/>
            <w:vAlign w:val="center"/>
          </w:tcPr>
          <w:p>
            <w:pPr>
              <w:spacing w:line="500" w:lineRule="exact"/>
              <w:jc w:val="center"/>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15</w:t>
            </w:r>
          </w:p>
        </w:tc>
        <w:tc>
          <w:tcPr>
            <w:tcW w:w="6337" w:type="dxa"/>
            <w:shd w:val="clear" w:color="auto" w:fill="auto"/>
            <w:noWrap/>
            <w:vAlign w:val="center"/>
          </w:tcPr>
          <w:p>
            <w:pPr>
              <w:spacing w:line="500" w:lineRule="exact"/>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除资格响应部分外的响应文件存在负偏离，磋商小组认为供应商的负偏离对本项目政府采购合同履行构成实质性影响的</w:t>
            </w:r>
          </w:p>
        </w:tc>
        <w:tc>
          <w:tcPr>
            <w:tcW w:w="1413" w:type="dxa"/>
            <w:shd w:val="clear" w:color="auto" w:fill="auto"/>
            <w:noWrap/>
            <w:vAlign w:val="center"/>
          </w:tcPr>
          <w:p>
            <w:pPr>
              <w:spacing w:line="500" w:lineRule="exact"/>
              <w:jc w:val="center"/>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shd w:val="clear" w:color="auto" w:fill="auto"/>
            <w:noWrap/>
            <w:vAlign w:val="center"/>
          </w:tcPr>
          <w:p>
            <w:pPr>
              <w:spacing w:line="500" w:lineRule="exact"/>
              <w:jc w:val="center"/>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16</w:t>
            </w:r>
          </w:p>
        </w:tc>
        <w:tc>
          <w:tcPr>
            <w:tcW w:w="6337" w:type="dxa"/>
            <w:shd w:val="clear" w:color="auto" w:fill="auto"/>
            <w:noWrap/>
            <w:vAlign w:val="center"/>
          </w:tcPr>
          <w:p>
            <w:pPr>
              <w:spacing w:line="500" w:lineRule="exact"/>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响应文件附有采购人不能接受的条件或者不符合磋商文件规定的其他实质性要求</w:t>
            </w:r>
          </w:p>
        </w:tc>
        <w:tc>
          <w:tcPr>
            <w:tcW w:w="1413" w:type="dxa"/>
            <w:shd w:val="clear" w:color="auto" w:fill="auto"/>
            <w:noWrap/>
            <w:vAlign w:val="center"/>
          </w:tcPr>
          <w:p>
            <w:pPr>
              <w:spacing w:line="500" w:lineRule="exact"/>
              <w:jc w:val="center"/>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shd w:val="clear" w:color="auto" w:fill="auto"/>
            <w:noWrap/>
            <w:vAlign w:val="center"/>
          </w:tcPr>
          <w:p>
            <w:pPr>
              <w:spacing w:line="500" w:lineRule="exact"/>
              <w:jc w:val="center"/>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17</w:t>
            </w:r>
          </w:p>
        </w:tc>
        <w:tc>
          <w:tcPr>
            <w:tcW w:w="6337" w:type="dxa"/>
            <w:shd w:val="clear" w:color="auto" w:fill="auto"/>
            <w:noWrap/>
            <w:vAlign w:val="center"/>
          </w:tcPr>
          <w:p>
            <w:pPr>
              <w:spacing w:line="500" w:lineRule="exact"/>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磋商结束后，供应商响应文件仍未实质性响应磋商文件的，或者磋商过程中，磋商小组发现或者知晓供应商存在违法、违规行为的</w:t>
            </w:r>
          </w:p>
        </w:tc>
        <w:tc>
          <w:tcPr>
            <w:tcW w:w="1413" w:type="dxa"/>
            <w:shd w:val="clear" w:color="auto" w:fill="auto"/>
            <w:noWrap/>
            <w:vAlign w:val="center"/>
          </w:tcPr>
          <w:p>
            <w:pPr>
              <w:spacing w:line="500" w:lineRule="exact"/>
              <w:jc w:val="center"/>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shd w:val="clear" w:color="auto" w:fill="auto"/>
            <w:noWrap/>
            <w:vAlign w:val="center"/>
          </w:tcPr>
          <w:p>
            <w:pPr>
              <w:spacing w:line="500" w:lineRule="exact"/>
              <w:jc w:val="center"/>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18</w:t>
            </w:r>
          </w:p>
        </w:tc>
        <w:tc>
          <w:tcPr>
            <w:tcW w:w="6337" w:type="dxa"/>
            <w:shd w:val="clear" w:color="auto" w:fill="auto"/>
            <w:noWrap/>
            <w:vAlign w:val="center"/>
          </w:tcPr>
          <w:p>
            <w:pPr>
              <w:spacing w:line="500" w:lineRule="exact"/>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供应商违反了“供应商的禁止性行为要求”的</w:t>
            </w:r>
          </w:p>
        </w:tc>
        <w:tc>
          <w:tcPr>
            <w:tcW w:w="1413" w:type="dxa"/>
            <w:shd w:val="clear" w:color="auto" w:fill="auto"/>
            <w:noWrap/>
            <w:vAlign w:val="center"/>
          </w:tcPr>
          <w:p>
            <w:pPr>
              <w:spacing w:line="500" w:lineRule="exact"/>
              <w:jc w:val="center"/>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shd w:val="clear" w:color="auto" w:fill="auto"/>
            <w:noWrap/>
            <w:vAlign w:val="center"/>
          </w:tcPr>
          <w:p>
            <w:pPr>
              <w:spacing w:line="500" w:lineRule="exact"/>
              <w:jc w:val="center"/>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19</w:t>
            </w:r>
          </w:p>
        </w:tc>
        <w:tc>
          <w:tcPr>
            <w:tcW w:w="6337" w:type="dxa"/>
            <w:shd w:val="clear" w:color="auto" w:fill="auto"/>
            <w:noWrap/>
            <w:vAlign w:val="center"/>
          </w:tcPr>
          <w:p>
            <w:pPr>
              <w:spacing w:line="500" w:lineRule="exact"/>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法律法规、磋商文件规定的其他响应无效情形</w:t>
            </w:r>
          </w:p>
        </w:tc>
        <w:tc>
          <w:tcPr>
            <w:tcW w:w="1413" w:type="dxa"/>
            <w:shd w:val="clear" w:color="auto" w:fill="auto"/>
            <w:noWrap/>
            <w:vAlign w:val="center"/>
          </w:tcPr>
          <w:p>
            <w:pPr>
              <w:spacing w:line="500" w:lineRule="exact"/>
              <w:jc w:val="center"/>
              <w:rPr>
                <w:rFonts w:hint="eastAsia" w:ascii="方正仿宋_GBK" w:hAnsi="方正仿宋_GBK" w:eastAsia="方正仿宋_GBK" w:cs="方正仿宋_GBK"/>
                <w:sz w:val="22"/>
              </w:rPr>
            </w:pPr>
            <w:r>
              <w:rPr>
                <w:rFonts w:hint="eastAsia" w:ascii="方正仿宋_GBK" w:hAnsi="方正仿宋_GBK" w:eastAsia="方正仿宋_GBK" w:cs="方正仿宋_GBK"/>
                <w:sz w:val="22"/>
              </w:rPr>
              <w:t>响应无效</w:t>
            </w:r>
          </w:p>
        </w:tc>
      </w:tr>
      <w:bookmarkEnd w:id="278"/>
    </w:tbl>
    <w:p>
      <w:pPr>
        <w:spacing w:line="500" w:lineRule="exact"/>
        <w:ind w:firstLine="560" w:firstLineChars="200"/>
        <w:rPr>
          <w:rFonts w:hint="eastAsia" w:ascii="方正仿宋_GBK" w:hAnsi="方正仿宋_GBK" w:eastAsia="方正仿宋_GBK" w:cs="方正仿宋_GBK"/>
          <w:sz w:val="28"/>
          <w:szCs w:val="28"/>
        </w:rPr>
      </w:pPr>
    </w:p>
    <w:p>
      <w:pPr>
        <w:spacing w:line="500" w:lineRule="exact"/>
        <w:ind w:firstLine="560" w:firstLineChars="200"/>
        <w:rPr>
          <w:rFonts w:hint="eastAsia" w:ascii="方正仿宋_GBK" w:hAnsi="方正仿宋_GBK" w:eastAsia="方正仿宋_GBK" w:cs="方正仿宋_GBK"/>
          <w:sz w:val="28"/>
          <w:szCs w:val="28"/>
        </w:rPr>
      </w:pPr>
    </w:p>
    <w:p>
      <w:pPr>
        <w:widowControl/>
        <w:jc w:val="left"/>
        <w:rPr>
          <w:rFonts w:hint="eastAsia" w:ascii="方正仿宋_GBK" w:hAnsi="方正仿宋_GBK" w:eastAsia="方正仿宋_GBK" w:cs="方正仿宋_GBK"/>
          <w:b/>
          <w:color w:val="000000"/>
          <w:sz w:val="44"/>
        </w:rPr>
      </w:pPr>
      <w:r>
        <w:rPr>
          <w:rFonts w:hint="eastAsia" w:ascii="方正仿宋_GBK" w:hAnsi="方正仿宋_GBK" w:eastAsia="方正仿宋_GBK" w:cs="方正仿宋_GBK"/>
          <w:b/>
          <w:color w:val="000000"/>
          <w:sz w:val="44"/>
        </w:rPr>
        <w:br w:type="page"/>
      </w:r>
    </w:p>
    <w:p>
      <w:pPr>
        <w:pStyle w:val="2"/>
        <w:spacing w:before="0" w:after="0" w:line="240" w:lineRule="auto"/>
        <w:ind w:left="1485" w:hanging="1485"/>
        <w:jc w:val="center"/>
        <w:rPr>
          <w:rFonts w:hint="eastAsia" w:ascii="方正仿宋_GBK" w:hAnsi="方正仿宋_GBK" w:eastAsia="方正仿宋_GBK" w:cs="方正仿宋_GBK"/>
          <w:bCs/>
          <w:color w:val="000000"/>
          <w:sz w:val="36"/>
          <w:szCs w:val="36"/>
        </w:rPr>
      </w:pPr>
      <w:bookmarkStart w:id="279" w:name="_Toc20234161"/>
      <w:bookmarkStart w:id="280" w:name="_Toc13266"/>
      <w:bookmarkStart w:id="281" w:name="_Toc63765809"/>
      <w:bookmarkStart w:id="282" w:name="_Toc8090"/>
      <w:bookmarkStart w:id="283" w:name="_Toc24440"/>
      <w:bookmarkStart w:id="284" w:name="_Toc9507"/>
      <w:bookmarkStart w:id="285" w:name="_Toc6871"/>
      <w:r>
        <w:rPr>
          <w:rFonts w:hint="eastAsia" w:ascii="方正仿宋_GBK" w:hAnsi="方正仿宋_GBK" w:eastAsia="方正仿宋_GBK" w:cs="方正仿宋_GBK"/>
          <w:bCs/>
          <w:color w:val="000000"/>
          <w:sz w:val="36"/>
          <w:szCs w:val="36"/>
        </w:rPr>
        <w:t>第三章 资格条件要求以及应当提供的资格证明材料</w:t>
      </w:r>
      <w:bookmarkEnd w:id="279"/>
      <w:bookmarkEnd w:id="280"/>
      <w:bookmarkEnd w:id="281"/>
      <w:bookmarkEnd w:id="282"/>
      <w:bookmarkEnd w:id="283"/>
      <w:bookmarkEnd w:id="284"/>
      <w:bookmarkEnd w:id="285"/>
    </w:p>
    <w:p>
      <w:pPr>
        <w:spacing w:line="520" w:lineRule="exact"/>
        <w:rPr>
          <w:rFonts w:hint="eastAsia" w:ascii="方正仿宋_GBK" w:hAnsi="方正仿宋_GBK" w:eastAsia="方正仿宋_GBK" w:cs="方正仿宋_GBK"/>
          <w:b w:val="0"/>
          <w:bCs/>
          <w:sz w:val="24"/>
          <w:szCs w:val="28"/>
        </w:rPr>
      </w:pPr>
      <w:bookmarkStart w:id="286" w:name="【bobole_资格表格】"/>
      <w:r>
        <w:rPr>
          <w:rFonts w:hint="eastAsia" w:ascii="方正仿宋_GBK" w:hAnsi="方正仿宋_GBK" w:eastAsia="方正仿宋_GBK" w:cs="方正仿宋_GBK"/>
          <w:b w:val="0"/>
          <w:bCs/>
          <w:sz w:val="24"/>
          <w:szCs w:val="28"/>
        </w:rPr>
        <w:t xml:space="preserve"> </w:t>
      </w:r>
    </w:p>
    <w:tbl>
      <w:tblPr>
        <w:tblStyle w:val="13"/>
        <w:tblW w:w="4988" w:type="pct"/>
        <w:tblInd w:w="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2371"/>
        <w:gridCol w:w="5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7" w:type="pct"/>
            <w:shd w:val="clear" w:color="auto" w:fill="FFFFFF"/>
            <w:vAlign w:val="center"/>
          </w:tcPr>
          <w:p>
            <w:pPr>
              <w:spacing w:line="520" w:lineRule="exact"/>
              <w:jc w:val="center"/>
              <w:rPr>
                <w:rFonts w:hint="eastAsia" w:ascii="方正仿宋_GBK" w:hAnsi="方正仿宋_GBK" w:eastAsia="方正仿宋_GBK" w:cs="方正仿宋_GBK"/>
                <w:b/>
                <w:bCs/>
                <w:sz w:val="24"/>
                <w:szCs w:val="28"/>
                <w:lang w:eastAsia="zh-CN"/>
              </w:rPr>
            </w:pPr>
            <w:r>
              <w:rPr>
                <w:rFonts w:hint="eastAsia" w:ascii="方正仿宋_GBK" w:hAnsi="方正仿宋_GBK" w:eastAsia="方正仿宋_GBK" w:cs="方正仿宋_GBK"/>
                <w:b/>
                <w:bCs/>
                <w:sz w:val="24"/>
                <w:szCs w:val="28"/>
                <w:lang w:eastAsia="zh-CN"/>
              </w:rPr>
              <w:t>序号</w:t>
            </w:r>
          </w:p>
        </w:tc>
        <w:tc>
          <w:tcPr>
            <w:tcW w:w="1394" w:type="pct"/>
            <w:shd w:val="clear" w:color="auto" w:fill="FFFFFF"/>
            <w:vAlign w:val="center"/>
          </w:tcPr>
          <w:p>
            <w:pPr>
              <w:spacing w:line="520" w:lineRule="exact"/>
              <w:jc w:val="center"/>
              <w:rPr>
                <w:rFonts w:hint="eastAsia" w:ascii="方正仿宋_GBK" w:hAnsi="方正仿宋_GBK" w:eastAsia="方正仿宋_GBK" w:cs="方正仿宋_GBK"/>
                <w:b/>
                <w:bCs/>
                <w:sz w:val="24"/>
                <w:szCs w:val="28"/>
              </w:rPr>
            </w:pPr>
            <w:r>
              <w:rPr>
                <w:rFonts w:hint="eastAsia" w:ascii="方正仿宋_GBK" w:hAnsi="方正仿宋_GBK" w:eastAsia="方正仿宋_GBK" w:cs="方正仿宋_GBK"/>
                <w:b/>
                <w:bCs/>
                <w:sz w:val="24"/>
                <w:szCs w:val="28"/>
              </w:rPr>
              <w:t>资格要求</w:t>
            </w:r>
          </w:p>
        </w:tc>
        <w:tc>
          <w:tcPr>
            <w:tcW w:w="3078" w:type="pct"/>
            <w:shd w:val="clear" w:color="auto" w:fill="FFFFFF"/>
            <w:vAlign w:val="center"/>
          </w:tcPr>
          <w:p>
            <w:pPr>
              <w:spacing w:line="520" w:lineRule="exact"/>
              <w:jc w:val="left"/>
              <w:rPr>
                <w:rFonts w:hint="eastAsia" w:ascii="方正仿宋_GBK" w:hAnsi="方正仿宋_GBK" w:eastAsia="方正仿宋_GBK" w:cs="方正仿宋_GBK"/>
                <w:b w:val="0"/>
                <w:bCs/>
                <w:sz w:val="24"/>
                <w:szCs w:val="28"/>
              </w:rPr>
            </w:pPr>
            <w:r>
              <w:rPr>
                <w:rFonts w:hint="eastAsia" w:ascii="方正仿宋_GBK" w:hAnsi="方正仿宋_GBK" w:eastAsia="方正仿宋_GBK" w:cs="方正仿宋_GBK"/>
                <w:b/>
                <w:bCs/>
                <w:sz w:val="24"/>
                <w:szCs w:val="28"/>
              </w:rPr>
              <w:t>资格证明文件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7" w:type="pct"/>
            <w:shd w:val="clear" w:color="auto" w:fill="FFFFFF"/>
            <w:vAlign w:val="center"/>
          </w:tcPr>
          <w:p>
            <w:pPr>
              <w:spacing w:line="520" w:lineRule="exact"/>
              <w:jc w:val="center"/>
              <w:rPr>
                <w:rFonts w:hint="eastAsia" w:ascii="方正仿宋_GBK" w:hAnsi="方正仿宋_GBK" w:eastAsia="方正仿宋_GBK" w:cs="方正仿宋_GBK"/>
                <w:b w:val="0"/>
                <w:bCs/>
                <w:sz w:val="24"/>
                <w:szCs w:val="28"/>
                <w:lang w:val="en-US" w:eastAsia="zh-CN"/>
              </w:rPr>
            </w:pPr>
            <w:r>
              <w:rPr>
                <w:rFonts w:hint="eastAsia" w:ascii="方正仿宋_GBK" w:hAnsi="方正仿宋_GBK" w:eastAsia="方正仿宋_GBK" w:cs="方正仿宋_GBK"/>
                <w:b w:val="0"/>
                <w:bCs/>
                <w:sz w:val="24"/>
                <w:szCs w:val="28"/>
                <w:lang w:val="en-US" w:eastAsia="zh-CN"/>
              </w:rPr>
              <w:t>1</w:t>
            </w:r>
          </w:p>
        </w:tc>
        <w:tc>
          <w:tcPr>
            <w:tcW w:w="1394" w:type="pct"/>
            <w:shd w:val="clear" w:color="auto" w:fill="FFFFFF"/>
            <w:vAlign w:val="center"/>
          </w:tcPr>
          <w:p>
            <w:pPr>
              <w:spacing w:line="520" w:lineRule="exact"/>
              <w:jc w:val="center"/>
              <w:rPr>
                <w:rFonts w:hint="eastAsia" w:ascii="方正仿宋_GBK" w:hAnsi="方正仿宋_GBK" w:eastAsia="方正仿宋_GBK" w:cs="方正仿宋_GBK"/>
                <w:b w:val="0"/>
                <w:bCs/>
                <w:sz w:val="24"/>
                <w:szCs w:val="28"/>
              </w:rPr>
            </w:pPr>
            <w:r>
              <w:rPr>
                <w:rFonts w:hint="eastAsia" w:ascii="方正仿宋_GBK" w:hAnsi="方正仿宋_GBK" w:eastAsia="方正仿宋_GBK" w:cs="方正仿宋_GBK"/>
                <w:b w:val="0"/>
                <w:bCs/>
                <w:sz w:val="24"/>
                <w:szCs w:val="28"/>
              </w:rPr>
              <w:t>具有独立承担民事责任的能力</w:t>
            </w:r>
          </w:p>
        </w:tc>
        <w:tc>
          <w:tcPr>
            <w:tcW w:w="3078" w:type="pct"/>
            <w:shd w:val="clear" w:color="auto" w:fill="FFFFFF"/>
            <w:vAlign w:val="center"/>
          </w:tcPr>
          <w:p>
            <w:pPr>
              <w:spacing w:line="520" w:lineRule="exact"/>
              <w:jc w:val="left"/>
              <w:rPr>
                <w:rFonts w:hint="eastAsia" w:ascii="方正仿宋_GBK" w:hAnsi="方正仿宋_GBK" w:eastAsia="方正仿宋_GBK" w:cs="方正仿宋_GBK"/>
                <w:b w:val="0"/>
                <w:bCs/>
                <w:sz w:val="24"/>
                <w:szCs w:val="28"/>
              </w:rPr>
            </w:pPr>
            <w:r>
              <w:rPr>
                <w:rFonts w:hint="eastAsia" w:ascii="方正仿宋_GBK" w:hAnsi="方正仿宋_GBK" w:eastAsia="方正仿宋_GBK" w:cs="方正仿宋_GBK"/>
                <w:b w:val="0"/>
                <w:bCs/>
                <w:sz w:val="24"/>
                <w:szCs w:val="28"/>
              </w:rPr>
              <w:t>（1）供应商是法人的，提供《营业执照》（或《事业单位法人证书》，或其他能够证明其依法有效存在的书面材料），以及法定代表人的身份证明；供应商是其他组织的，提供能够证明其依法有效存在的书面材料，以及组织负责人的身份证明；供应商是自然人的，提供其身份证明；</w:t>
            </w:r>
          </w:p>
          <w:p>
            <w:pPr>
              <w:spacing w:line="520" w:lineRule="exact"/>
              <w:jc w:val="left"/>
              <w:rPr>
                <w:rFonts w:hint="eastAsia" w:ascii="方正仿宋_GBK" w:hAnsi="方正仿宋_GBK" w:eastAsia="方正仿宋_GBK" w:cs="方正仿宋_GBK"/>
                <w:b w:val="0"/>
                <w:bCs/>
                <w:sz w:val="24"/>
                <w:szCs w:val="28"/>
              </w:rPr>
            </w:pPr>
            <w:r>
              <w:rPr>
                <w:rFonts w:hint="eastAsia" w:ascii="方正仿宋_GBK" w:hAnsi="方正仿宋_GBK" w:eastAsia="方正仿宋_GBK" w:cs="方正仿宋_GBK"/>
                <w:b w:val="0"/>
                <w:bCs/>
                <w:sz w:val="24"/>
                <w:szCs w:val="28"/>
              </w:rPr>
              <w:t>（2）供应商派出参加政府采购活动的代表不是法定代表人或组织负责人的，应提供派出代表的《授权委托书》及其身份证明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7" w:type="pct"/>
            <w:shd w:val="clear" w:color="auto" w:fill="FFFFFF"/>
            <w:vAlign w:val="center"/>
          </w:tcPr>
          <w:p>
            <w:pPr>
              <w:spacing w:line="520" w:lineRule="exact"/>
              <w:jc w:val="center"/>
              <w:rPr>
                <w:rFonts w:hint="eastAsia" w:ascii="方正仿宋_GBK" w:hAnsi="方正仿宋_GBK" w:eastAsia="方正仿宋_GBK" w:cs="方正仿宋_GBK"/>
                <w:b w:val="0"/>
                <w:bCs/>
                <w:sz w:val="24"/>
                <w:szCs w:val="28"/>
                <w:lang w:val="en-US" w:eastAsia="zh-CN"/>
              </w:rPr>
            </w:pPr>
            <w:r>
              <w:rPr>
                <w:rFonts w:hint="eastAsia" w:ascii="方正仿宋_GBK" w:hAnsi="方正仿宋_GBK" w:eastAsia="方正仿宋_GBK" w:cs="方正仿宋_GBK"/>
                <w:b w:val="0"/>
                <w:bCs/>
                <w:sz w:val="24"/>
                <w:szCs w:val="28"/>
                <w:lang w:val="en-US" w:eastAsia="zh-CN"/>
              </w:rPr>
              <w:t>2</w:t>
            </w:r>
          </w:p>
        </w:tc>
        <w:tc>
          <w:tcPr>
            <w:tcW w:w="1394" w:type="pct"/>
            <w:shd w:val="clear" w:color="auto" w:fill="FFFFFF"/>
            <w:vAlign w:val="center"/>
          </w:tcPr>
          <w:p>
            <w:pPr>
              <w:spacing w:line="520" w:lineRule="exact"/>
              <w:jc w:val="center"/>
              <w:rPr>
                <w:rFonts w:hint="eastAsia" w:ascii="方正仿宋_GBK" w:hAnsi="方正仿宋_GBK" w:eastAsia="方正仿宋_GBK" w:cs="方正仿宋_GBK"/>
                <w:b w:val="0"/>
                <w:bCs/>
                <w:sz w:val="24"/>
                <w:szCs w:val="28"/>
              </w:rPr>
            </w:pPr>
            <w:r>
              <w:rPr>
                <w:rFonts w:hint="eastAsia" w:ascii="方正仿宋_GBK" w:hAnsi="方正仿宋_GBK" w:eastAsia="方正仿宋_GBK" w:cs="方正仿宋_GBK"/>
                <w:b w:val="0"/>
                <w:bCs/>
                <w:sz w:val="24"/>
                <w:szCs w:val="28"/>
              </w:rPr>
              <w:t>具有良好的商业信誉和健全的财务会计制度</w:t>
            </w:r>
          </w:p>
        </w:tc>
        <w:tc>
          <w:tcPr>
            <w:tcW w:w="3078" w:type="pct"/>
            <w:shd w:val="clear" w:color="auto" w:fill="FFFFFF"/>
            <w:vAlign w:val="center"/>
          </w:tcPr>
          <w:p>
            <w:pPr>
              <w:spacing w:line="520" w:lineRule="exact"/>
              <w:jc w:val="left"/>
              <w:rPr>
                <w:rFonts w:hint="eastAsia" w:ascii="方正仿宋_GBK" w:hAnsi="方正仿宋_GBK" w:eastAsia="方正仿宋_GBK" w:cs="方正仿宋_GBK"/>
                <w:b w:val="0"/>
                <w:bCs/>
                <w:sz w:val="24"/>
                <w:szCs w:val="28"/>
              </w:rPr>
            </w:pPr>
            <w:r>
              <w:rPr>
                <w:rFonts w:hint="eastAsia" w:ascii="方正仿宋_GBK" w:hAnsi="方正仿宋_GBK" w:eastAsia="方正仿宋_GBK" w:cs="方正仿宋_GBK"/>
                <w:b w:val="0"/>
                <w:bCs/>
                <w:sz w:val="24"/>
                <w:szCs w:val="28"/>
              </w:rPr>
              <w:t>（1）提供具有良好商业信誉的承诺函；</w:t>
            </w:r>
          </w:p>
          <w:p>
            <w:pPr>
              <w:spacing w:line="520" w:lineRule="exact"/>
              <w:jc w:val="left"/>
              <w:rPr>
                <w:rFonts w:hint="eastAsia" w:ascii="方正仿宋_GBK" w:hAnsi="方正仿宋_GBK" w:eastAsia="方正仿宋_GBK" w:cs="方正仿宋_GBK"/>
                <w:b w:val="0"/>
                <w:bCs/>
                <w:sz w:val="24"/>
                <w:szCs w:val="28"/>
              </w:rPr>
            </w:pPr>
            <w:r>
              <w:rPr>
                <w:rFonts w:hint="eastAsia" w:ascii="方正仿宋_GBK" w:hAnsi="方正仿宋_GBK" w:eastAsia="方正仿宋_GBK" w:cs="方正仿宋_GBK"/>
                <w:b w:val="0"/>
                <w:bCs/>
                <w:sz w:val="24"/>
                <w:szCs w:val="28"/>
              </w:rPr>
              <w:t>（2）提供财务状况报告（以下二者任选其一）：</w:t>
            </w:r>
          </w:p>
          <w:p>
            <w:pPr>
              <w:spacing w:line="520" w:lineRule="exact"/>
              <w:jc w:val="left"/>
              <w:rPr>
                <w:rFonts w:hint="eastAsia" w:ascii="方正仿宋_GBK" w:hAnsi="方正仿宋_GBK" w:eastAsia="方正仿宋_GBK" w:cs="方正仿宋_GBK"/>
                <w:b w:val="0"/>
                <w:bCs/>
                <w:color w:val="000000" w:themeColor="text1"/>
                <w:sz w:val="24"/>
                <w:szCs w:val="28"/>
                <w14:textFill>
                  <w14:solidFill>
                    <w14:schemeClr w14:val="tx1"/>
                  </w14:solidFill>
                </w14:textFill>
              </w:rPr>
            </w:pPr>
            <w:r>
              <w:rPr>
                <w:rFonts w:hint="eastAsia" w:ascii="方正仿宋_GBK" w:hAnsi="方正仿宋_GBK" w:eastAsia="方正仿宋_GBK" w:cs="方正仿宋_GBK"/>
                <w:b w:val="0"/>
                <w:bCs/>
                <w:color w:val="000000" w:themeColor="text1"/>
                <w:sz w:val="24"/>
                <w:szCs w:val="28"/>
                <w14:textFill>
                  <w14:solidFill>
                    <w14:schemeClr w14:val="tx1"/>
                  </w14:solidFill>
                </w14:textFill>
              </w:rPr>
              <w:t>a.经会计师事务所审计的2020年度</w:t>
            </w:r>
            <w:r>
              <w:rPr>
                <w:rFonts w:hint="eastAsia" w:ascii="方正仿宋_GBK" w:hAnsi="方正仿宋_GBK" w:eastAsia="方正仿宋_GBK" w:cs="方正仿宋_GBK"/>
                <w:b w:val="0"/>
                <w:bCs/>
                <w:color w:val="000000" w:themeColor="text1"/>
                <w:sz w:val="24"/>
                <w:szCs w:val="28"/>
                <w:lang w:eastAsia="zh-CN"/>
                <w14:textFill>
                  <w14:solidFill>
                    <w14:schemeClr w14:val="tx1"/>
                  </w14:solidFill>
                </w14:textFill>
              </w:rPr>
              <w:t>完整的</w:t>
            </w:r>
            <w:r>
              <w:rPr>
                <w:rFonts w:hint="eastAsia" w:ascii="方正仿宋_GBK" w:hAnsi="方正仿宋_GBK" w:eastAsia="方正仿宋_GBK" w:cs="方正仿宋_GBK"/>
                <w:b w:val="0"/>
                <w:bCs/>
                <w:color w:val="000000" w:themeColor="text1"/>
                <w:sz w:val="24"/>
                <w:szCs w:val="28"/>
                <w14:textFill>
                  <w14:solidFill>
                    <w14:schemeClr w14:val="tx1"/>
                  </w14:solidFill>
                </w14:textFill>
              </w:rPr>
              <w:t>财务会计报告；</w:t>
            </w:r>
          </w:p>
          <w:p>
            <w:pPr>
              <w:spacing w:line="520" w:lineRule="exact"/>
              <w:jc w:val="left"/>
              <w:rPr>
                <w:rFonts w:hint="eastAsia" w:ascii="方正仿宋_GBK" w:hAnsi="方正仿宋_GBK" w:eastAsia="方正仿宋_GBK" w:cs="方正仿宋_GBK"/>
                <w:b w:val="0"/>
                <w:bCs/>
                <w:sz w:val="24"/>
                <w:szCs w:val="28"/>
              </w:rPr>
            </w:pPr>
            <w:r>
              <w:rPr>
                <w:rFonts w:hint="eastAsia" w:ascii="方正仿宋_GBK" w:hAnsi="方正仿宋_GBK" w:eastAsia="方正仿宋_GBK" w:cs="方正仿宋_GBK"/>
                <w:b w:val="0"/>
                <w:bCs/>
                <w:sz w:val="24"/>
                <w:szCs w:val="28"/>
              </w:rPr>
              <w:t>b.银行出具的资信证明（本项目要求资信证明的出具时间应在投标截止时间前的90日内）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7" w:type="pct"/>
            <w:shd w:val="clear" w:color="auto" w:fill="FFFFFF"/>
            <w:vAlign w:val="center"/>
          </w:tcPr>
          <w:p>
            <w:pPr>
              <w:spacing w:line="520" w:lineRule="exact"/>
              <w:jc w:val="center"/>
              <w:rPr>
                <w:rFonts w:hint="eastAsia" w:ascii="方正仿宋_GBK" w:hAnsi="方正仿宋_GBK" w:eastAsia="方正仿宋_GBK" w:cs="方正仿宋_GBK"/>
                <w:b w:val="0"/>
                <w:bCs/>
                <w:sz w:val="24"/>
                <w:szCs w:val="28"/>
                <w:lang w:val="en-US" w:eastAsia="zh-CN"/>
              </w:rPr>
            </w:pPr>
            <w:r>
              <w:rPr>
                <w:rFonts w:hint="eastAsia" w:ascii="方正仿宋_GBK" w:hAnsi="方正仿宋_GBK" w:eastAsia="方正仿宋_GBK" w:cs="方正仿宋_GBK"/>
                <w:b w:val="0"/>
                <w:bCs/>
                <w:sz w:val="24"/>
                <w:szCs w:val="28"/>
                <w:lang w:val="en-US" w:eastAsia="zh-CN"/>
              </w:rPr>
              <w:t>3</w:t>
            </w:r>
          </w:p>
        </w:tc>
        <w:tc>
          <w:tcPr>
            <w:tcW w:w="1394" w:type="pct"/>
            <w:shd w:val="clear" w:color="auto" w:fill="FFFFFF"/>
            <w:vAlign w:val="center"/>
          </w:tcPr>
          <w:p>
            <w:pPr>
              <w:spacing w:line="520" w:lineRule="exact"/>
              <w:jc w:val="center"/>
              <w:rPr>
                <w:rFonts w:hint="eastAsia" w:ascii="方正仿宋_GBK" w:hAnsi="方正仿宋_GBK" w:eastAsia="方正仿宋_GBK" w:cs="方正仿宋_GBK"/>
                <w:b w:val="0"/>
                <w:bCs/>
                <w:sz w:val="24"/>
                <w:szCs w:val="28"/>
              </w:rPr>
            </w:pPr>
            <w:r>
              <w:rPr>
                <w:rFonts w:hint="eastAsia" w:ascii="方正仿宋_GBK" w:hAnsi="方正仿宋_GBK" w:eastAsia="方正仿宋_GBK" w:cs="方正仿宋_GBK"/>
                <w:b w:val="0"/>
                <w:bCs/>
                <w:sz w:val="24"/>
                <w:szCs w:val="28"/>
              </w:rPr>
              <w:t>具有履行合同所必需的设备和专业技术能力</w:t>
            </w:r>
          </w:p>
        </w:tc>
        <w:tc>
          <w:tcPr>
            <w:tcW w:w="3078" w:type="pct"/>
            <w:shd w:val="clear" w:color="auto" w:fill="FFFFFF"/>
            <w:vAlign w:val="center"/>
          </w:tcPr>
          <w:p>
            <w:pPr>
              <w:spacing w:line="520" w:lineRule="exact"/>
              <w:jc w:val="left"/>
              <w:rPr>
                <w:rFonts w:hint="eastAsia" w:ascii="方正仿宋_GBK" w:hAnsi="方正仿宋_GBK" w:eastAsia="方正仿宋_GBK" w:cs="方正仿宋_GBK"/>
                <w:b w:val="0"/>
                <w:bCs/>
                <w:sz w:val="24"/>
                <w:szCs w:val="28"/>
              </w:rPr>
            </w:pPr>
            <w:r>
              <w:rPr>
                <w:rFonts w:hint="eastAsia" w:ascii="方正仿宋_GBK" w:hAnsi="方正仿宋_GBK" w:eastAsia="方正仿宋_GBK" w:cs="方正仿宋_GBK"/>
                <w:b w:val="0"/>
                <w:bCs/>
                <w:sz w:val="24"/>
                <w:szCs w:val="28"/>
              </w:rPr>
              <w:t>提供具有履行合同所必需的设备和专业技术能力的证明材料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7" w:type="pct"/>
            <w:shd w:val="clear" w:color="auto" w:fill="FFFFFF"/>
            <w:vAlign w:val="center"/>
          </w:tcPr>
          <w:p>
            <w:pPr>
              <w:spacing w:line="520" w:lineRule="exact"/>
              <w:jc w:val="center"/>
              <w:rPr>
                <w:rFonts w:hint="eastAsia" w:ascii="方正仿宋_GBK" w:hAnsi="方正仿宋_GBK" w:eastAsia="方正仿宋_GBK" w:cs="方正仿宋_GBK"/>
                <w:b w:val="0"/>
                <w:bCs/>
                <w:sz w:val="24"/>
                <w:szCs w:val="28"/>
                <w:lang w:val="en-US" w:eastAsia="zh-CN"/>
              </w:rPr>
            </w:pPr>
            <w:r>
              <w:rPr>
                <w:rFonts w:hint="eastAsia" w:ascii="方正仿宋_GBK" w:hAnsi="方正仿宋_GBK" w:eastAsia="方正仿宋_GBK" w:cs="方正仿宋_GBK"/>
                <w:b w:val="0"/>
                <w:bCs/>
                <w:sz w:val="24"/>
                <w:szCs w:val="28"/>
                <w:lang w:val="en-US" w:eastAsia="zh-CN"/>
              </w:rPr>
              <w:t>4</w:t>
            </w:r>
          </w:p>
        </w:tc>
        <w:tc>
          <w:tcPr>
            <w:tcW w:w="1394" w:type="pct"/>
            <w:shd w:val="clear" w:color="auto" w:fill="FFFFFF"/>
            <w:vAlign w:val="center"/>
          </w:tcPr>
          <w:p>
            <w:pPr>
              <w:spacing w:line="520" w:lineRule="exact"/>
              <w:jc w:val="center"/>
              <w:rPr>
                <w:rFonts w:hint="eastAsia" w:ascii="方正仿宋_GBK" w:hAnsi="方正仿宋_GBK" w:eastAsia="方正仿宋_GBK" w:cs="方正仿宋_GBK"/>
                <w:b w:val="0"/>
                <w:bCs/>
                <w:sz w:val="24"/>
                <w:szCs w:val="28"/>
              </w:rPr>
            </w:pPr>
            <w:r>
              <w:rPr>
                <w:rFonts w:hint="eastAsia" w:ascii="方正仿宋_GBK" w:hAnsi="方正仿宋_GBK" w:eastAsia="方正仿宋_GBK" w:cs="方正仿宋_GBK"/>
                <w:b w:val="0"/>
                <w:bCs/>
                <w:sz w:val="24"/>
                <w:szCs w:val="28"/>
              </w:rPr>
              <w:t>有依法缴纳税收和社会保障资金的良好记录</w:t>
            </w:r>
          </w:p>
        </w:tc>
        <w:tc>
          <w:tcPr>
            <w:tcW w:w="3078" w:type="pct"/>
            <w:shd w:val="clear" w:color="auto" w:fill="FFFFFF"/>
            <w:vAlign w:val="center"/>
          </w:tcPr>
          <w:p>
            <w:pPr>
              <w:spacing w:line="520" w:lineRule="exact"/>
              <w:jc w:val="left"/>
              <w:rPr>
                <w:rFonts w:hint="eastAsia" w:ascii="方正仿宋_GBK" w:hAnsi="方正仿宋_GBK" w:eastAsia="方正仿宋_GBK" w:cs="方正仿宋_GBK"/>
                <w:b w:val="0"/>
                <w:bCs/>
                <w:sz w:val="24"/>
                <w:szCs w:val="28"/>
              </w:rPr>
            </w:pPr>
            <w:r>
              <w:rPr>
                <w:rFonts w:hint="eastAsia" w:ascii="方正仿宋_GBK" w:hAnsi="方正仿宋_GBK" w:eastAsia="方正仿宋_GBK" w:cs="方正仿宋_GBK"/>
                <w:b w:val="0"/>
                <w:bCs/>
                <w:sz w:val="24"/>
                <w:szCs w:val="28"/>
              </w:rPr>
              <w:t>（1）供应商提供递交响应文件截止日期之前12个月内任意连续三个月的缴纳税收的证明，零申报的提供税务系统网络申报或税务大厅申报零申报报表，新成立不足三个月的公司按实际缴纳情况提供, 依法免税的公司须提供相应文件证明其依法免税。</w:t>
            </w:r>
          </w:p>
          <w:p>
            <w:pPr>
              <w:spacing w:line="520" w:lineRule="exact"/>
              <w:jc w:val="left"/>
              <w:rPr>
                <w:rFonts w:hint="eastAsia" w:ascii="方正仿宋_GBK" w:hAnsi="方正仿宋_GBK" w:eastAsia="方正仿宋_GBK" w:cs="方正仿宋_GBK"/>
                <w:b w:val="0"/>
                <w:bCs/>
                <w:sz w:val="24"/>
                <w:szCs w:val="28"/>
              </w:rPr>
            </w:pPr>
            <w:r>
              <w:rPr>
                <w:rFonts w:hint="eastAsia" w:ascii="方正仿宋_GBK" w:hAnsi="方正仿宋_GBK" w:eastAsia="方正仿宋_GBK" w:cs="方正仿宋_GBK"/>
                <w:b w:val="0"/>
                <w:bCs/>
                <w:sz w:val="24"/>
                <w:szCs w:val="28"/>
              </w:rPr>
              <w:t>（2）供应商提供递交响应文件截止日期之前12个月内任意连续三个月的缴纳社保的证明，新成立不足三个月的公司按实际缴纳情况提供，不需要缴纳社会保障资金的公司须提供相应文件证明其不需要缴纳社会保障资金。</w:t>
            </w:r>
          </w:p>
          <w:p>
            <w:pPr>
              <w:spacing w:line="520" w:lineRule="exact"/>
              <w:jc w:val="left"/>
              <w:rPr>
                <w:rFonts w:hint="eastAsia" w:ascii="方正仿宋_GBK" w:hAnsi="方正仿宋_GBK" w:eastAsia="方正仿宋_GBK" w:cs="方正仿宋_GBK"/>
                <w:b w:val="0"/>
                <w:bCs/>
                <w:sz w:val="24"/>
                <w:szCs w:val="28"/>
              </w:rPr>
            </w:pPr>
            <w:r>
              <w:rPr>
                <w:rFonts w:hint="eastAsia" w:ascii="方正仿宋_GBK" w:hAnsi="方正仿宋_GBK" w:eastAsia="方正仿宋_GBK" w:cs="方正仿宋_GBK"/>
                <w:b w:val="0"/>
                <w:bCs/>
                <w:sz w:val="24"/>
                <w:szCs w:val="28"/>
              </w:rPr>
              <w:t>（3）自然人和个体户可提供承诺函。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7" w:type="pct"/>
            <w:shd w:val="clear" w:color="auto" w:fill="FFFFFF"/>
            <w:vAlign w:val="center"/>
          </w:tcPr>
          <w:p>
            <w:pPr>
              <w:spacing w:line="520" w:lineRule="exact"/>
              <w:jc w:val="center"/>
              <w:rPr>
                <w:rFonts w:hint="eastAsia" w:ascii="方正仿宋_GBK" w:hAnsi="方正仿宋_GBK" w:eastAsia="方正仿宋_GBK" w:cs="方正仿宋_GBK"/>
                <w:b w:val="0"/>
                <w:bCs/>
                <w:sz w:val="24"/>
                <w:szCs w:val="28"/>
                <w:lang w:val="en-US" w:eastAsia="zh-CN"/>
              </w:rPr>
            </w:pPr>
            <w:r>
              <w:rPr>
                <w:rFonts w:hint="eastAsia" w:ascii="方正仿宋_GBK" w:hAnsi="方正仿宋_GBK" w:eastAsia="方正仿宋_GBK" w:cs="方正仿宋_GBK"/>
                <w:b w:val="0"/>
                <w:bCs/>
                <w:sz w:val="24"/>
                <w:szCs w:val="28"/>
                <w:lang w:val="en-US" w:eastAsia="zh-CN"/>
              </w:rPr>
              <w:t>5</w:t>
            </w:r>
          </w:p>
        </w:tc>
        <w:tc>
          <w:tcPr>
            <w:tcW w:w="1394" w:type="pct"/>
            <w:shd w:val="clear" w:color="auto" w:fill="FFFFFF"/>
            <w:vAlign w:val="center"/>
          </w:tcPr>
          <w:p>
            <w:pPr>
              <w:spacing w:line="520" w:lineRule="exact"/>
              <w:jc w:val="center"/>
              <w:rPr>
                <w:rFonts w:hint="eastAsia" w:ascii="方正仿宋_GBK" w:hAnsi="方正仿宋_GBK" w:eastAsia="方正仿宋_GBK" w:cs="方正仿宋_GBK"/>
                <w:b w:val="0"/>
                <w:bCs/>
                <w:sz w:val="24"/>
                <w:szCs w:val="28"/>
              </w:rPr>
            </w:pPr>
            <w:r>
              <w:rPr>
                <w:rFonts w:hint="eastAsia" w:ascii="方正仿宋_GBK" w:hAnsi="方正仿宋_GBK" w:eastAsia="方正仿宋_GBK" w:cs="方正仿宋_GBK"/>
                <w:b w:val="0"/>
                <w:bCs/>
                <w:sz w:val="24"/>
                <w:szCs w:val="28"/>
              </w:rPr>
              <w:t>参加本次政府采购活动前三年内，在经营活动中没有重大违法记录</w:t>
            </w:r>
          </w:p>
        </w:tc>
        <w:tc>
          <w:tcPr>
            <w:tcW w:w="3078" w:type="pct"/>
            <w:shd w:val="clear" w:color="auto" w:fill="FFFFFF"/>
            <w:vAlign w:val="center"/>
          </w:tcPr>
          <w:p>
            <w:pPr>
              <w:spacing w:line="520" w:lineRule="exact"/>
              <w:jc w:val="left"/>
              <w:rPr>
                <w:rFonts w:hint="eastAsia" w:ascii="方正仿宋_GBK" w:hAnsi="方正仿宋_GBK" w:eastAsia="方正仿宋_GBK" w:cs="方正仿宋_GBK"/>
                <w:b w:val="0"/>
                <w:bCs/>
                <w:sz w:val="24"/>
                <w:szCs w:val="28"/>
              </w:rPr>
            </w:pPr>
            <w:r>
              <w:rPr>
                <w:rFonts w:hint="eastAsia" w:ascii="方正仿宋_GBK" w:hAnsi="方正仿宋_GBK" w:eastAsia="方正仿宋_GBK" w:cs="方正仿宋_GBK"/>
                <w:b w:val="0"/>
                <w:bCs/>
                <w:sz w:val="24"/>
                <w:szCs w:val="28"/>
              </w:rPr>
              <w:t>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7" w:type="pct"/>
            <w:shd w:val="clear" w:color="auto" w:fill="FFFFFF"/>
            <w:vAlign w:val="center"/>
          </w:tcPr>
          <w:p>
            <w:pPr>
              <w:spacing w:line="520" w:lineRule="exact"/>
              <w:jc w:val="center"/>
              <w:rPr>
                <w:rFonts w:hint="eastAsia" w:ascii="方正仿宋_GBK" w:hAnsi="方正仿宋_GBK" w:eastAsia="方正仿宋_GBK" w:cs="方正仿宋_GBK"/>
                <w:b w:val="0"/>
                <w:bCs/>
                <w:sz w:val="24"/>
                <w:szCs w:val="28"/>
                <w:lang w:val="en-US" w:eastAsia="zh-CN"/>
              </w:rPr>
            </w:pPr>
            <w:r>
              <w:rPr>
                <w:rFonts w:hint="eastAsia" w:ascii="方正仿宋_GBK" w:hAnsi="方正仿宋_GBK" w:eastAsia="方正仿宋_GBK" w:cs="方正仿宋_GBK"/>
                <w:b w:val="0"/>
                <w:bCs/>
                <w:sz w:val="24"/>
                <w:szCs w:val="28"/>
                <w:lang w:val="en-US" w:eastAsia="zh-CN"/>
              </w:rPr>
              <w:t>6</w:t>
            </w:r>
          </w:p>
        </w:tc>
        <w:tc>
          <w:tcPr>
            <w:tcW w:w="1394" w:type="pct"/>
            <w:shd w:val="clear" w:color="auto" w:fill="FFFFFF"/>
            <w:vAlign w:val="center"/>
          </w:tcPr>
          <w:p>
            <w:pPr>
              <w:spacing w:line="520" w:lineRule="exact"/>
              <w:jc w:val="center"/>
              <w:rPr>
                <w:rFonts w:hint="eastAsia" w:ascii="方正仿宋_GBK" w:hAnsi="方正仿宋_GBK" w:eastAsia="方正仿宋_GBK" w:cs="方正仿宋_GBK"/>
                <w:b w:val="0"/>
                <w:bCs/>
                <w:sz w:val="24"/>
                <w:szCs w:val="28"/>
              </w:rPr>
            </w:pPr>
            <w:r>
              <w:rPr>
                <w:rFonts w:hint="eastAsia" w:ascii="方正仿宋_GBK" w:hAnsi="方正仿宋_GBK" w:eastAsia="方正仿宋_GBK" w:cs="方正仿宋_GBK"/>
                <w:b w:val="0"/>
                <w:bCs/>
                <w:sz w:val="24"/>
                <w:szCs w:val="28"/>
              </w:rPr>
              <w:t>法律、行政法规规定的其他条件</w:t>
            </w:r>
          </w:p>
        </w:tc>
        <w:tc>
          <w:tcPr>
            <w:tcW w:w="3078" w:type="pct"/>
            <w:shd w:val="clear" w:color="auto" w:fill="FFFFFF"/>
            <w:vAlign w:val="center"/>
          </w:tcPr>
          <w:p>
            <w:pPr>
              <w:spacing w:line="520" w:lineRule="exact"/>
              <w:jc w:val="left"/>
              <w:rPr>
                <w:rFonts w:hint="eastAsia" w:ascii="方正仿宋_GBK" w:hAnsi="方正仿宋_GBK" w:eastAsia="方正仿宋_GBK" w:cs="方正仿宋_GBK"/>
                <w:b w:val="0"/>
                <w:bCs/>
                <w:sz w:val="24"/>
                <w:szCs w:val="28"/>
              </w:rPr>
            </w:pPr>
            <w:r>
              <w:rPr>
                <w:rFonts w:hint="eastAsia" w:ascii="方正仿宋_GBK" w:hAnsi="方正仿宋_GBK" w:eastAsia="方正仿宋_GBK" w:cs="方正仿宋_GBK"/>
                <w:b w:val="0"/>
                <w:bCs/>
                <w:sz w:val="24"/>
                <w:szCs w:val="28"/>
              </w:rPr>
              <w:t>在法律法规有特殊规定的情况下提供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7" w:type="pct"/>
            <w:shd w:val="clear" w:color="auto" w:fill="FFFFFF"/>
            <w:vAlign w:val="center"/>
          </w:tcPr>
          <w:p>
            <w:pPr>
              <w:spacing w:line="520" w:lineRule="exact"/>
              <w:jc w:val="center"/>
              <w:rPr>
                <w:rFonts w:hint="eastAsia" w:ascii="方正仿宋_GBK" w:hAnsi="方正仿宋_GBK" w:eastAsia="方正仿宋_GBK" w:cs="方正仿宋_GBK"/>
                <w:b w:val="0"/>
                <w:bCs/>
                <w:sz w:val="24"/>
                <w:szCs w:val="28"/>
                <w:lang w:val="en-US" w:eastAsia="zh-CN"/>
              </w:rPr>
            </w:pPr>
            <w:r>
              <w:rPr>
                <w:rFonts w:hint="eastAsia" w:ascii="方正仿宋_GBK" w:hAnsi="方正仿宋_GBK" w:eastAsia="方正仿宋_GBK" w:cs="方正仿宋_GBK"/>
                <w:b w:val="0"/>
                <w:bCs/>
                <w:sz w:val="24"/>
                <w:szCs w:val="28"/>
                <w:lang w:val="en-US" w:eastAsia="zh-CN"/>
              </w:rPr>
              <w:t>7</w:t>
            </w:r>
          </w:p>
        </w:tc>
        <w:tc>
          <w:tcPr>
            <w:tcW w:w="1394" w:type="pct"/>
            <w:shd w:val="clear" w:color="auto" w:fill="FFFFFF"/>
            <w:vAlign w:val="center"/>
          </w:tcPr>
          <w:p>
            <w:pPr>
              <w:spacing w:line="520" w:lineRule="exact"/>
              <w:jc w:val="center"/>
              <w:rPr>
                <w:rFonts w:hint="eastAsia" w:ascii="方正仿宋_GBK" w:hAnsi="方正仿宋_GBK" w:eastAsia="方正仿宋_GBK" w:cs="方正仿宋_GBK"/>
                <w:b w:val="0"/>
                <w:bCs/>
                <w:sz w:val="24"/>
                <w:szCs w:val="28"/>
              </w:rPr>
            </w:pPr>
            <w:r>
              <w:rPr>
                <w:rFonts w:hint="eastAsia" w:ascii="方正仿宋_GBK" w:hAnsi="方正仿宋_GBK" w:eastAsia="方正仿宋_GBK" w:cs="方正仿宋_GBK"/>
                <w:b w:val="0"/>
                <w:bCs/>
                <w:sz w:val="24"/>
                <w:szCs w:val="28"/>
              </w:rPr>
              <w:t>属于专门面向中小企业采购的项目,供应商应为中小微企业、监狱企业、残疾人福利性单位</w:t>
            </w:r>
          </w:p>
        </w:tc>
        <w:tc>
          <w:tcPr>
            <w:tcW w:w="3078" w:type="pct"/>
            <w:shd w:val="clear" w:color="auto" w:fill="FFFFFF"/>
            <w:vAlign w:val="center"/>
          </w:tcPr>
          <w:p>
            <w:pPr>
              <w:spacing w:line="520" w:lineRule="exact"/>
              <w:jc w:val="left"/>
              <w:rPr>
                <w:rFonts w:hint="eastAsia" w:ascii="方正仿宋_GBK" w:hAnsi="方正仿宋_GBK" w:eastAsia="方正仿宋_GBK" w:cs="方正仿宋_GBK"/>
                <w:b w:val="0"/>
                <w:bCs/>
                <w:sz w:val="24"/>
                <w:szCs w:val="28"/>
              </w:rPr>
            </w:pPr>
            <w:r>
              <w:rPr>
                <w:rFonts w:hint="eastAsia" w:ascii="方正仿宋_GBK" w:hAnsi="方正仿宋_GBK" w:eastAsia="方正仿宋_GBK" w:cs="方正仿宋_GBK"/>
                <w:b w:val="0"/>
                <w:bCs/>
                <w:sz w:val="24"/>
                <w:szCs w:val="28"/>
              </w:rPr>
              <w:t>提供《中小微企业（监狱企业）声明函》或《残疾人福利性单位声明函》扫描件</w:t>
            </w:r>
          </w:p>
        </w:tc>
      </w:tr>
      <w:bookmarkEnd w:id="286"/>
    </w:tbl>
    <w:p>
      <w:pPr>
        <w:rPr>
          <w:rFonts w:hint="eastAsia" w:ascii="方正仿宋_GBK" w:hAnsi="方正仿宋_GBK" w:eastAsia="方正仿宋_GBK" w:cs="方正仿宋_GBK"/>
        </w:rPr>
      </w:pPr>
    </w:p>
    <w:p>
      <w:pPr>
        <w:spacing w:line="520" w:lineRule="exact"/>
        <w:ind w:firstLine="562" w:firstLineChars="200"/>
        <w:rPr>
          <w:rFonts w:hint="eastAsia" w:ascii="方正仿宋_GBK" w:hAnsi="方正仿宋_GBK" w:eastAsia="方正仿宋_GBK" w:cs="方正仿宋_GBK"/>
          <w:b/>
          <w:bCs/>
          <w:sz w:val="28"/>
          <w:szCs w:val="28"/>
        </w:rPr>
      </w:pPr>
    </w:p>
    <w:p>
      <w:pPr>
        <w:spacing w:line="520" w:lineRule="exact"/>
        <w:ind w:firstLine="562" w:firstLineChars="20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备注：</w:t>
      </w:r>
    </w:p>
    <w:p>
      <w:pPr>
        <w:tabs>
          <w:tab w:val="left" w:pos="2310"/>
        </w:tabs>
        <w:spacing w:line="440" w:lineRule="exact"/>
        <w:ind w:right="420" w:rightChars="200"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供应商在参加政府采购活动前，被纳入法院、工商行政管理部门、税务部门、银行认定的失信名单且在有效期内，或者在前3年政府采购合同履约过程中及其他经营活动履约过程中未依法履约被有关行政部门处罚（处理）的，本项目将认定其不具有良好的商业信誉；</w:t>
      </w:r>
    </w:p>
    <w:p>
      <w:pPr>
        <w:tabs>
          <w:tab w:val="left" w:pos="2310"/>
        </w:tabs>
        <w:spacing w:line="440" w:lineRule="exact"/>
        <w:ind w:right="420" w:rightChars="200"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2.供应商提供的证件资料有正、副本的，本项目不对供应商关于该资料应提供正本或副本作出要求；</w:t>
      </w:r>
    </w:p>
    <w:p>
      <w:pPr>
        <w:tabs>
          <w:tab w:val="left" w:pos="2310"/>
        </w:tabs>
        <w:spacing w:line="440" w:lineRule="exact"/>
        <w:ind w:right="420" w:rightChars="200"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3.关于本表所列各“承诺函”，供应商可以参照本通知书第五章“磋商承诺函”格式一并填写，不必为特定事项单独撰写承诺函；</w:t>
      </w:r>
    </w:p>
    <w:p>
      <w:pPr>
        <w:tabs>
          <w:tab w:val="left" w:pos="2310"/>
        </w:tabs>
        <w:spacing w:line="440" w:lineRule="exact"/>
        <w:ind w:right="420" w:rightChars="200"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关于本表第2行第3列的“财务状况报告”：新成立公司不能提供经审计的财务报告的，应提供资产负债表、利润表、现金流量表、所有者权益变动表及附注（新成立公司执行小企业会计准则的，可不提供所有者权益变动表）；</w:t>
      </w:r>
    </w:p>
    <w:p>
      <w:pPr>
        <w:tabs>
          <w:tab w:val="left" w:pos="2310"/>
        </w:tabs>
        <w:spacing w:line="440" w:lineRule="exact"/>
        <w:ind w:right="420" w:rightChars="200"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5.关于本表第3行第3列：供应商应结合本次政府采购项目特点和自身实际提供；该资料可以是现场照片、凭据凭证、资质证书、类似业绩或者工作人员从业信息等形式；</w:t>
      </w:r>
    </w:p>
    <w:p>
      <w:pPr>
        <w:tabs>
          <w:tab w:val="left" w:pos="2310"/>
        </w:tabs>
        <w:spacing w:line="440" w:lineRule="exact"/>
        <w:ind w:right="420" w:rightChars="200"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6.关于本表第6行第3列：“法律法规有特殊规定的情况”是指特许经营、准入限制等情况；</w:t>
      </w:r>
    </w:p>
    <w:p>
      <w:pPr>
        <w:widowControl/>
        <w:jc w:val="left"/>
        <w:rPr>
          <w:rFonts w:hint="eastAsia" w:ascii="方正仿宋_GBK" w:hAnsi="方正仿宋_GBK" w:eastAsia="方正仿宋_GBK" w:cs="方正仿宋_GBK"/>
          <w:b/>
          <w:color w:val="000000"/>
          <w:sz w:val="44"/>
        </w:rPr>
      </w:pPr>
      <w:r>
        <w:rPr>
          <w:rFonts w:hint="eastAsia" w:ascii="方正仿宋_GBK" w:hAnsi="方正仿宋_GBK" w:eastAsia="方正仿宋_GBK" w:cs="方正仿宋_GBK"/>
          <w:b/>
          <w:color w:val="000000"/>
          <w:sz w:val="44"/>
        </w:rPr>
        <w:br w:type="page"/>
      </w:r>
    </w:p>
    <w:p>
      <w:pPr>
        <w:pStyle w:val="2"/>
        <w:spacing w:line="400" w:lineRule="exact"/>
        <w:jc w:val="center"/>
        <w:rPr>
          <w:rFonts w:hint="eastAsia" w:ascii="方正仿宋_GBK" w:hAnsi="方正仿宋_GBK" w:eastAsia="方正仿宋_GBK" w:cs="方正仿宋_GBK"/>
          <w:bCs/>
          <w:sz w:val="36"/>
          <w:szCs w:val="36"/>
        </w:rPr>
      </w:pPr>
      <w:bookmarkStart w:id="287" w:name="_Toc471310423"/>
      <w:bookmarkStart w:id="288" w:name="_Toc389231763"/>
      <w:bookmarkStart w:id="289" w:name="_Toc315963028"/>
      <w:bookmarkStart w:id="290" w:name="_Toc63765810"/>
      <w:bookmarkStart w:id="291" w:name="_Toc29477"/>
      <w:bookmarkStart w:id="292" w:name="_Toc6930"/>
      <w:bookmarkStart w:id="293" w:name="_Toc19926"/>
      <w:bookmarkStart w:id="294" w:name="_Toc5731"/>
      <w:bookmarkStart w:id="295" w:name="_Toc6239"/>
      <w:r>
        <w:rPr>
          <w:rFonts w:hint="eastAsia" w:ascii="方正仿宋_GBK" w:hAnsi="方正仿宋_GBK" w:eastAsia="方正仿宋_GBK" w:cs="方正仿宋_GBK"/>
          <w:bCs/>
          <w:sz w:val="36"/>
          <w:szCs w:val="36"/>
        </w:rPr>
        <w:t xml:space="preserve">第四章 </w:t>
      </w:r>
      <w:bookmarkEnd w:id="287"/>
      <w:bookmarkEnd w:id="288"/>
      <w:bookmarkEnd w:id="289"/>
      <w:r>
        <w:rPr>
          <w:rFonts w:hint="eastAsia" w:ascii="方正仿宋_GBK" w:hAnsi="方正仿宋_GBK" w:eastAsia="方正仿宋_GBK" w:cs="方正仿宋_GBK"/>
          <w:sz w:val="36"/>
          <w:szCs w:val="36"/>
        </w:rPr>
        <w:t>采购需求及其技术、服务及其他</w:t>
      </w:r>
      <w:r>
        <w:rPr>
          <w:rFonts w:hint="eastAsia" w:ascii="方正仿宋_GBK" w:hAnsi="方正仿宋_GBK" w:eastAsia="方正仿宋_GBK" w:cs="方正仿宋_GBK"/>
          <w:sz w:val="36"/>
          <w:szCs w:val="36"/>
          <w:lang w:eastAsia="zh-CN"/>
        </w:rPr>
        <w:t>商务</w:t>
      </w:r>
      <w:r>
        <w:rPr>
          <w:rFonts w:hint="eastAsia" w:ascii="方正仿宋_GBK" w:hAnsi="方正仿宋_GBK" w:eastAsia="方正仿宋_GBK" w:cs="方正仿宋_GBK"/>
          <w:sz w:val="36"/>
          <w:szCs w:val="36"/>
        </w:rPr>
        <w:t>要求</w:t>
      </w:r>
      <w:bookmarkEnd w:id="290"/>
      <w:bookmarkEnd w:id="291"/>
      <w:bookmarkEnd w:id="292"/>
      <w:bookmarkEnd w:id="293"/>
      <w:bookmarkEnd w:id="294"/>
      <w:bookmarkEnd w:id="295"/>
    </w:p>
    <w:p>
      <w:pPr>
        <w:keepNext/>
        <w:keepLines/>
        <w:spacing w:after="0" w:line="360" w:lineRule="auto"/>
        <w:outlineLvl w:val="9"/>
        <w:rPr>
          <w:rFonts w:hint="eastAsia" w:ascii="方正仿宋_GBK" w:hAnsi="方正仿宋_GBK" w:eastAsia="方正仿宋_GBK" w:cs="方正仿宋_GBK"/>
          <w:b/>
          <w:bCs/>
          <w:kern w:val="44"/>
          <w:sz w:val="28"/>
          <w:szCs w:val="28"/>
        </w:rPr>
      </w:pPr>
      <w:bookmarkStart w:id="296" w:name="【bobole_技术商务要求】"/>
      <w:r>
        <w:rPr>
          <w:rFonts w:hint="eastAsia" w:ascii="方正仿宋_GBK" w:hAnsi="方正仿宋_GBK" w:eastAsia="方正仿宋_GBK" w:cs="方正仿宋_GBK"/>
          <w:b/>
          <w:sz w:val="24"/>
          <w:szCs w:val="24"/>
        </w:rPr>
        <w:t xml:space="preserve">  </w:t>
      </w:r>
      <w:bookmarkStart w:id="297" w:name="_Toc24921"/>
      <w:bookmarkStart w:id="298" w:name="_Toc5159"/>
      <w:r>
        <w:rPr>
          <w:rFonts w:hint="eastAsia" w:ascii="方正仿宋_GBK" w:hAnsi="方正仿宋_GBK" w:eastAsia="方正仿宋_GBK" w:cs="方正仿宋_GBK"/>
          <w:b/>
          <w:bCs/>
          <w:sz w:val="28"/>
          <w:szCs w:val="28"/>
        </w:rPr>
        <w:t>一、</w:t>
      </w:r>
      <w:r>
        <w:rPr>
          <w:rFonts w:hint="eastAsia" w:ascii="方正仿宋_GBK" w:hAnsi="方正仿宋_GBK" w:eastAsia="方正仿宋_GBK" w:cs="方正仿宋_GBK"/>
          <w:b/>
          <w:bCs/>
          <w:kern w:val="44"/>
          <w:sz w:val="28"/>
          <w:szCs w:val="28"/>
        </w:rPr>
        <w:t>项目概述</w:t>
      </w:r>
      <w:bookmarkEnd w:id="297"/>
      <w:bookmarkEnd w:id="298"/>
    </w:p>
    <w:p>
      <w:pPr>
        <w:spacing w:after="0"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rPr>
        <w:t>党的十九届五中全会通过的《中共中央关于制定国民经济和社会发展第十四个五年规划和二〇三五年远景目标的建议》，将“社会文明程度得到新提高”作为“十四五”时期经济社会发展主要目标之一，并对提高社会文明程</w:t>
      </w:r>
      <w:r>
        <w:rPr>
          <w:rFonts w:hint="eastAsia" w:ascii="方正仿宋_GBK" w:hAnsi="方正仿宋_GBK" w:eastAsia="方正仿宋_GBK" w:cs="方正仿宋_GBK"/>
          <w:sz w:val="28"/>
          <w:szCs w:val="28"/>
        </w:rPr>
        <w:t>度作出一系列重要部署。</w:t>
      </w:r>
    </w:p>
    <w:p>
      <w:pPr>
        <w:spacing w:after="0" w:line="360" w:lineRule="auto"/>
        <w:ind w:firstLine="560" w:firstLineChars="2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全国文明城市是所有城市品牌中含金量最高、创建难度最大的一个，创建工作覆盖面广、涉及范围大。2018—2020年创建周期全国文明城市提名城市共391个，最终入选城市133个城市，成功几率只有34%左右。全国文明城市测评非常严格，测评形式包括实地考察、网报材料、问卷调查，其中实地考察、问卷调查由国家统计局和中央文明委成员单位、相关职能部门抽调人员实施，评选要求高、标准严、难度大，创建工作十分艰巨。</w:t>
      </w:r>
    </w:p>
    <w:p>
      <w:pPr>
        <w:spacing w:after="0" w:line="360" w:lineRule="auto"/>
        <w:ind w:firstLine="560" w:firstLineChars="2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全国文明城市创建，涉及城市治理体系和治理能力的方方面面，体现的是一个城市管理水平的深厚积淀，绝非“创时之功”。这需要参评城市不能搞“一阵风”式创建，更不能用蛮力，而是需要掌握科学系统的方式方法，立足长远，不断建立健全监控评测、督察通报、动态管理的长效常态闭环工作机制。</w:t>
      </w:r>
    </w:p>
    <w:p>
      <w:pPr>
        <w:spacing w:after="0" w:line="360" w:lineRule="auto"/>
        <w:ind w:firstLine="560" w:firstLineChars="200"/>
        <w:rPr>
          <w:rFonts w:hint="eastAsia" w:ascii="方正仿宋_GBK" w:hAnsi="方正仿宋_GBK" w:eastAsia="方正仿宋_GBK" w:cs="方正仿宋_GBK"/>
          <w:color w:val="C00000"/>
          <w:kern w:val="0"/>
          <w:sz w:val="28"/>
          <w:szCs w:val="28"/>
        </w:rPr>
      </w:pPr>
      <w:r>
        <w:rPr>
          <w:rFonts w:hint="eastAsia" w:ascii="方正仿宋_GBK" w:hAnsi="方正仿宋_GBK" w:eastAsia="方正仿宋_GBK" w:cs="方正仿宋_GBK"/>
          <w:kern w:val="0"/>
          <w:sz w:val="28"/>
          <w:szCs w:val="28"/>
        </w:rPr>
        <w:t>由于经开区创文办人员少，不专业，网报资料、图片和实地点位把握不精准，对标对表有差距。为搞好创文相关工作，经开区拟聘请第三方专业公司进行创文咨询指导，既可弥补创文指标解读、点位打造等创文短板，争取测评得高分，同时也可充分利用公司其他资源、资讯优势，学习创文的先进经验，精准掌握中央文明办测评要求和标准，圆满完成创建目标。</w:t>
      </w:r>
    </w:p>
    <w:p>
      <w:pPr>
        <w:keepNext/>
        <w:keepLines/>
        <w:spacing w:after="0" w:line="360" w:lineRule="auto"/>
        <w:outlineLvl w:val="9"/>
        <w:rPr>
          <w:rFonts w:hint="eastAsia" w:ascii="方正仿宋_GBK" w:hAnsi="方正仿宋_GBK" w:eastAsia="方正仿宋_GBK" w:cs="方正仿宋_GBK"/>
          <w:b/>
          <w:bCs/>
          <w:kern w:val="44"/>
          <w:sz w:val="28"/>
          <w:szCs w:val="28"/>
        </w:rPr>
      </w:pPr>
      <w:bookmarkStart w:id="299" w:name="_Toc14966"/>
      <w:bookmarkStart w:id="300" w:name="_Toc10269"/>
      <w:r>
        <w:rPr>
          <w:rFonts w:hint="eastAsia" w:ascii="方正仿宋_GBK" w:hAnsi="方正仿宋_GBK" w:eastAsia="方正仿宋_GBK" w:cs="方正仿宋_GBK"/>
          <w:b/>
          <w:bCs/>
          <w:kern w:val="44"/>
          <w:sz w:val="28"/>
          <w:szCs w:val="28"/>
        </w:rPr>
        <w:t>二、服务内容</w:t>
      </w:r>
      <w:bookmarkEnd w:id="299"/>
      <w:bookmarkEnd w:id="300"/>
    </w:p>
    <w:p>
      <w:pPr>
        <w:spacing w:after="0" w:line="360" w:lineRule="auto"/>
        <w:ind w:firstLine="560" w:firstLineChars="2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1、模拟测评：对经开区、巴州区和恩阳区的12个街道办事处、31个乡镇进行全覆盖测评，问卷调查不少于1000份。</w:t>
      </w:r>
    </w:p>
    <w:p>
      <w:pPr>
        <w:spacing w:after="0" w:line="360" w:lineRule="auto"/>
        <w:ind w:firstLine="560" w:firstLineChars="2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2、整理测评台账：对实地调查结果生成问题台账。</w:t>
      </w:r>
    </w:p>
    <w:p>
      <w:pPr>
        <w:spacing w:after="0" w:line="360" w:lineRule="auto"/>
        <w:ind w:firstLine="560" w:firstLineChars="2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3、测评报告：测评结果汇总成为测评报告并给三区、12个重点市级部门、88个市级责任单位进行打分排名。</w:t>
      </w:r>
    </w:p>
    <w:p>
      <w:pPr>
        <w:spacing w:after="0" w:line="360" w:lineRule="auto"/>
        <w:ind w:firstLine="560" w:firstLineChars="2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4、实地指标培训：对各创建单位进行创建指标体系培训。</w:t>
      </w:r>
    </w:p>
    <w:p>
      <w:pPr>
        <w:spacing w:after="0" w:line="360" w:lineRule="auto"/>
        <w:ind w:firstLine="560" w:firstLineChars="2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5、点位指导：指派专家现场对点位建设进行实地指导。</w:t>
      </w:r>
    </w:p>
    <w:p>
      <w:pPr>
        <w:spacing w:after="0" w:line="360" w:lineRule="auto"/>
        <w:ind w:firstLine="560" w:firstLineChars="2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6、网报材料培训：对各申报单位进行培训。</w:t>
      </w:r>
    </w:p>
    <w:p>
      <w:pPr>
        <w:spacing w:after="0" w:line="360" w:lineRule="auto"/>
        <w:ind w:firstLine="560" w:firstLineChars="2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7、网报材料指导：指派专家对巴中市网报材料进行指导。</w:t>
      </w:r>
    </w:p>
    <w:p>
      <w:pPr>
        <w:keepNext/>
        <w:keepLines/>
        <w:spacing w:after="0" w:line="360" w:lineRule="auto"/>
        <w:outlineLvl w:val="9"/>
        <w:rPr>
          <w:rFonts w:hint="eastAsia" w:ascii="方正仿宋_GBK" w:hAnsi="方正仿宋_GBK" w:eastAsia="方正仿宋_GBK" w:cs="方正仿宋_GBK"/>
          <w:b/>
          <w:bCs/>
          <w:kern w:val="44"/>
          <w:sz w:val="28"/>
          <w:szCs w:val="28"/>
        </w:rPr>
      </w:pPr>
      <w:bookmarkStart w:id="301" w:name="_Toc7672"/>
      <w:bookmarkStart w:id="302" w:name="_Toc4917"/>
      <w:r>
        <w:rPr>
          <w:rFonts w:hint="eastAsia" w:ascii="方正仿宋_GBK" w:hAnsi="方正仿宋_GBK" w:eastAsia="方正仿宋_GBK" w:cs="方正仿宋_GBK"/>
          <w:b/>
          <w:bCs/>
          <w:kern w:val="44"/>
          <w:sz w:val="28"/>
          <w:szCs w:val="28"/>
        </w:rPr>
        <w:t>三、服务要求</w:t>
      </w:r>
      <w:bookmarkEnd w:id="301"/>
      <w:bookmarkEnd w:id="302"/>
    </w:p>
    <w:p>
      <w:pPr>
        <w:keepNext/>
        <w:keepLines/>
        <w:spacing w:after="0" w:line="360" w:lineRule="auto"/>
        <w:ind w:firstLine="560" w:firstLineChars="200"/>
        <w:outlineLvl w:val="9"/>
        <w:rPr>
          <w:rFonts w:hint="eastAsia" w:ascii="方正仿宋_GBK" w:hAnsi="方正仿宋_GBK" w:eastAsia="方正仿宋_GBK" w:cs="方正仿宋_GBK"/>
          <w:b/>
          <w:bCs/>
          <w:sz w:val="28"/>
          <w:szCs w:val="28"/>
        </w:rPr>
      </w:pPr>
      <w:bookmarkStart w:id="303" w:name="_Toc22823"/>
      <w:bookmarkStart w:id="304" w:name="_Toc12001"/>
      <w:r>
        <w:rPr>
          <w:rFonts w:hint="eastAsia" w:ascii="方正仿宋_GBK" w:hAnsi="方正仿宋_GBK" w:eastAsia="方正仿宋_GBK" w:cs="方正仿宋_GBK"/>
          <w:sz w:val="28"/>
          <w:szCs w:val="28"/>
        </w:rPr>
        <w:t>1、测评范围：经开区、巴州区和恩阳区的12个街道办事处、31个乡镇进行全覆盖测评。</w:t>
      </w:r>
      <w:bookmarkEnd w:id="303"/>
      <w:bookmarkEnd w:id="304"/>
    </w:p>
    <w:p>
      <w:pPr>
        <w:numPr>
          <w:ilvl w:val="0"/>
          <w:numId w:val="6"/>
        </w:numPr>
        <w:spacing w:after="0" w:line="24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测评数量：点位不少于500个，入户问卷不少于1000份。</w:t>
      </w:r>
    </w:p>
    <w:p>
      <w:pPr>
        <w:numPr>
          <w:ilvl w:val="0"/>
          <w:numId w:val="6"/>
        </w:numPr>
        <w:spacing w:after="0" w:line="24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测评结果提交：在测评工作结束后15个工作日内提交测评报告与问题台账</w:t>
      </w:r>
      <w:r>
        <w:rPr>
          <w:rFonts w:hint="eastAsia" w:ascii="方正仿宋_GBK" w:hAnsi="方正仿宋_GBK" w:eastAsia="方正仿宋_GBK" w:cs="方正仿宋_GBK"/>
          <w:b/>
          <w:bCs/>
          <w:sz w:val="28"/>
          <w:szCs w:val="28"/>
        </w:rPr>
        <w:t>（电子档及纸质文件）</w:t>
      </w:r>
      <w:r>
        <w:rPr>
          <w:rFonts w:hint="eastAsia" w:ascii="方正仿宋_GBK" w:hAnsi="方正仿宋_GBK" w:eastAsia="方正仿宋_GBK" w:cs="方正仿宋_GBK"/>
          <w:sz w:val="28"/>
          <w:szCs w:val="28"/>
        </w:rPr>
        <w:t>。</w:t>
      </w:r>
    </w:p>
    <w:p>
      <w:pPr>
        <w:numPr>
          <w:ilvl w:val="0"/>
          <w:numId w:val="6"/>
        </w:numPr>
        <w:spacing w:after="0" w:line="24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指标培训：对创建单位实地创建指标培训一次及以上。</w:t>
      </w:r>
    </w:p>
    <w:p>
      <w:pPr>
        <w:numPr>
          <w:ilvl w:val="0"/>
          <w:numId w:val="6"/>
        </w:numPr>
        <w:spacing w:after="0" w:line="24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点位指导：指派专家现场对点位建设进行实地指导一次及以上。</w:t>
      </w:r>
    </w:p>
    <w:p>
      <w:pPr>
        <w:numPr>
          <w:ilvl w:val="0"/>
          <w:numId w:val="6"/>
        </w:numPr>
        <w:spacing w:after="0" w:line="24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材料培训：对各申报单位进行培训指导一次及以上。</w:t>
      </w:r>
    </w:p>
    <w:p>
      <w:pPr>
        <w:numPr>
          <w:ilvl w:val="0"/>
          <w:numId w:val="6"/>
        </w:numPr>
        <w:spacing w:after="0" w:line="240" w:lineRule="auto"/>
        <w:ind w:firstLine="560" w:firstLineChars="2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网报材料指导：指派专家对巴中市网报材料进行指导，指导通过为止。</w:t>
      </w:r>
    </w:p>
    <w:p>
      <w:pPr>
        <w:keepNext/>
        <w:keepLines/>
        <w:spacing w:after="0" w:line="360" w:lineRule="auto"/>
        <w:outlineLvl w:val="9"/>
        <w:rPr>
          <w:rFonts w:hint="eastAsia" w:ascii="方正仿宋_GBK" w:hAnsi="方正仿宋_GBK" w:eastAsia="方正仿宋_GBK" w:cs="方正仿宋_GBK"/>
          <w:b/>
          <w:bCs/>
          <w:kern w:val="44"/>
          <w:sz w:val="28"/>
          <w:szCs w:val="28"/>
        </w:rPr>
      </w:pPr>
      <w:r>
        <w:rPr>
          <w:rFonts w:hint="eastAsia" w:ascii="方正仿宋_GBK" w:hAnsi="方正仿宋_GBK" w:eastAsia="方正仿宋_GBK" w:cs="方正仿宋_GBK"/>
          <w:b/>
          <w:sz w:val="24"/>
          <w:szCs w:val="24"/>
        </w:rPr>
        <w:t xml:space="preserve"> </w:t>
      </w:r>
      <w:bookmarkStart w:id="305" w:name="_Toc8134"/>
      <w:bookmarkStart w:id="306" w:name="_Toc3925"/>
      <w:r>
        <w:rPr>
          <w:rFonts w:hint="eastAsia" w:ascii="方正仿宋_GBK" w:hAnsi="方正仿宋_GBK" w:eastAsia="方正仿宋_GBK" w:cs="方正仿宋_GBK"/>
          <w:b/>
          <w:bCs/>
          <w:kern w:val="44"/>
          <w:sz w:val="28"/>
          <w:szCs w:val="28"/>
        </w:rPr>
        <w:t>四、商务要求（实质性要求）</w:t>
      </w:r>
      <w:bookmarkEnd w:id="305"/>
      <w:bookmarkEnd w:id="306"/>
    </w:p>
    <w:p>
      <w:pPr>
        <w:spacing w:after="0"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1、服务时间</w:t>
      </w:r>
      <w:r>
        <w:rPr>
          <w:rFonts w:hint="eastAsia" w:ascii="方正仿宋_GBK" w:hAnsi="方正仿宋_GBK" w:eastAsia="方正仿宋_GBK" w:cs="方正仿宋_GBK"/>
          <w:color w:val="C00000"/>
          <w:sz w:val="28"/>
          <w:szCs w:val="28"/>
        </w:rPr>
        <w:t>：</w:t>
      </w:r>
      <w:r>
        <w:rPr>
          <w:rFonts w:hint="eastAsia" w:ascii="方正仿宋_GBK" w:hAnsi="方正仿宋_GBK" w:eastAsia="方正仿宋_GBK" w:cs="方正仿宋_GBK"/>
          <w:sz w:val="28"/>
          <w:szCs w:val="28"/>
        </w:rPr>
        <w:t>2022年4月30日前（具体时间以采购人书面通知为准）提交初步成果，初步成果提交后10日内完成所有审查并提交最终成果。</w:t>
      </w:r>
    </w:p>
    <w:p>
      <w:pPr>
        <w:spacing w:after="0"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2、实施地点：采购人指定地点。</w:t>
      </w:r>
    </w:p>
    <w:p>
      <w:pPr>
        <w:spacing w:after="0" w:line="360" w:lineRule="auto"/>
        <w:ind w:firstLine="48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rPr>
        <w:t>3、验收方法：</w:t>
      </w:r>
      <w:r>
        <w:rPr>
          <w:rFonts w:hint="eastAsia" w:ascii="方正仿宋_GBK" w:hAnsi="方正仿宋_GBK" w:eastAsia="方正仿宋_GBK" w:cs="方正仿宋_GBK"/>
          <w:sz w:val="28"/>
          <w:szCs w:val="28"/>
        </w:rPr>
        <w:t>严格按照《财政部关于进一步加强政府采购需求和履约验收管理的指导意见》（财库〔2016〕205号）《巴中市财政局关于进一步加强政府采购项目合同履约验收管理工作的通知》（巴财采〔2021〕21号）和国家行业相关规定及合同约定标准进行验收。</w:t>
      </w:r>
    </w:p>
    <w:p>
      <w:pPr>
        <w:spacing w:after="0"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验收标准：按国家有关规定以及磋商文件的质量要求和技术指标、供应商的响应文件及承诺与本合同约定标准进行验收；双方如对质量要求和技术指标的约定标准有相互抵触或异议的事项，由采购人在磋商与响应文件中按质量要求和技术指标比较优胜的原则确定该项的约定标准进行验收。</w:t>
      </w:r>
    </w:p>
    <w:p>
      <w:pPr>
        <w:spacing w:after="0"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5、报价要求：报价应是最终采购人验收合格后的总价，包括实施和完成本项目所需的劳务、管理、差旅、税金、利润等一切费用，采购人不再支付其它任何费用。</w:t>
      </w:r>
    </w:p>
    <w:p>
      <w:pPr>
        <w:spacing w:after="0"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6、后续服务：</w:t>
      </w:r>
    </w:p>
    <w:p>
      <w:pPr>
        <w:spacing w:after="0"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（1）供应商在接到采购人通知后，应提供快捷、周到、规范的服务。</w:t>
      </w:r>
    </w:p>
    <w:p>
      <w:pPr>
        <w:keepNext w:val="0"/>
        <w:keepLines w:val="0"/>
        <w:pageBreakBefore w:val="0"/>
        <w:widowControl w:val="0"/>
        <w:kinsoku/>
        <w:wordWrap/>
        <w:overflowPunct/>
        <w:topLinePunct w:val="0"/>
        <w:autoSpaceDE/>
        <w:autoSpaceDN/>
        <w:bidi w:val="0"/>
        <w:adjustRightInd/>
        <w:snapToGrid/>
        <w:spacing w:after="0"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（2）成交供应商须至少委派1名技术人员负责对接本项目，根据项目建设情况和采购人要求及时提供技术支持以及后续服务工作</w:t>
      </w:r>
      <w:r>
        <w:rPr>
          <w:rFonts w:hint="eastAsia" w:ascii="方正仿宋_GBK" w:hAnsi="方正仿宋_GBK" w:eastAsia="方正仿宋_GBK" w:cs="方正仿宋_GBK"/>
          <w:b/>
          <w:bCs/>
          <w:sz w:val="28"/>
          <w:szCs w:val="28"/>
        </w:rPr>
        <w:t>（响应文件中须提供指派技术人员姓名，联系方式及身份证明，还须提供供应商为其缴纳的2021年以来任意连续三个月的社保证明。注：新成立不足三个月的供应商按实际缴纳提供）</w:t>
      </w:r>
      <w:r>
        <w:rPr>
          <w:rFonts w:hint="eastAsia" w:ascii="方正仿宋_GBK" w:hAnsi="方正仿宋_GBK" w:eastAsia="方正仿宋_GBK" w:cs="方正仿宋_GBK"/>
          <w:sz w:val="28"/>
          <w:szCs w:val="28"/>
        </w:rPr>
        <w:t>。</w:t>
      </w:r>
    </w:p>
    <w:p>
      <w:pPr>
        <w:spacing w:after="0"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7、付款方式：</w:t>
      </w:r>
    </w:p>
    <w:p>
      <w:pPr>
        <w:spacing w:after="0"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（1）服务费用。服务费用总价60.00万元（大写：陆拾万元整）</w:t>
      </w:r>
    </w:p>
    <w:p>
      <w:pPr>
        <w:spacing w:after="0"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（2）费用支付。分三次支付，合同签订后甲方在10个工作日内首次支付合同总金额的35%；第二次支付按完成进度的一半再支付总额的25%；本项目全部服务完成且验收合格后，支付余下款项。</w:t>
      </w:r>
    </w:p>
    <w:p>
      <w:pPr>
        <w:spacing w:after="0"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8、其它要求：</w:t>
      </w:r>
    </w:p>
    <w:p>
      <w:pPr>
        <w:spacing w:after="0"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（1）知识产权：归采购人所有。</w:t>
      </w:r>
    </w:p>
    <w:p>
      <w:pPr>
        <w:spacing w:after="0"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（2）其它未尽事宜由采购人和成交供应商在采购合同中约定。</w:t>
      </w:r>
    </w:p>
    <w:p>
      <w:pPr>
        <w:spacing w:after="0"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9、供应商若提供虚假响应文件及文书谋取成交者一律视为无效投标，并上报财政部门按照相关的法律法规进行处罚。</w:t>
      </w:r>
    </w:p>
    <w:bookmarkEnd w:id="296"/>
    <w:p>
      <w:pPr>
        <w:spacing w:after="0"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备注：</w:t>
      </w:r>
    </w:p>
    <w:p>
      <w:pPr>
        <w:keepNext w:val="0"/>
        <w:keepLines w:val="0"/>
        <w:pageBreakBefore w:val="0"/>
        <w:widowControl w:val="0"/>
        <w:tabs>
          <w:tab w:val="left" w:pos="2310"/>
        </w:tabs>
        <w:kinsoku/>
        <w:wordWrap/>
        <w:overflowPunct/>
        <w:topLinePunct w:val="0"/>
        <w:autoSpaceDE/>
        <w:autoSpaceDN/>
        <w:bidi w:val="0"/>
        <w:adjustRightInd/>
        <w:snapToGrid/>
        <w:spacing w:line="520" w:lineRule="exact"/>
        <w:ind w:right="420" w:rightChars="20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1.供应商的响应文件存在负偏离，磋商小组认为供应商的负偏离不对本项目政府采购合同履行构成实质性影响的，应在书面审查环节对该供应商作审查通过的处理。</w:t>
      </w:r>
    </w:p>
    <w:p>
      <w:pPr>
        <w:keepNext w:val="0"/>
        <w:keepLines w:val="0"/>
        <w:pageBreakBefore w:val="0"/>
        <w:widowControl w:val="0"/>
        <w:tabs>
          <w:tab w:val="left" w:pos="2310"/>
        </w:tabs>
        <w:kinsoku/>
        <w:wordWrap/>
        <w:overflowPunct/>
        <w:topLinePunct w:val="0"/>
        <w:autoSpaceDE/>
        <w:autoSpaceDN/>
        <w:bidi w:val="0"/>
        <w:adjustRightInd/>
        <w:snapToGrid/>
        <w:spacing w:line="520" w:lineRule="exact"/>
        <w:ind w:right="420" w:rightChars="20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bookmarkStart w:id="307" w:name="_Hlk9516218"/>
      <w:r>
        <w:rPr>
          <w:rFonts w:hint="eastAsia" w:ascii="方正仿宋_GBK" w:hAnsi="方正仿宋_GBK" w:eastAsia="方正仿宋_GBK" w:cs="方正仿宋_GBK"/>
          <w:sz w:val="28"/>
          <w:szCs w:val="28"/>
        </w:rPr>
        <w:t>磋商文件未变动的，磋商小组不能要求供应商重新提交响应文件，供应商重新提交响应文件的也不予接收。</w:t>
      </w:r>
    </w:p>
    <w:bookmarkEnd w:id="307"/>
    <w:p>
      <w:pPr>
        <w:keepNext w:val="0"/>
        <w:keepLines w:val="0"/>
        <w:pageBreakBefore w:val="0"/>
        <w:widowControl w:val="0"/>
        <w:tabs>
          <w:tab w:val="left" w:pos="2310"/>
        </w:tabs>
        <w:kinsoku/>
        <w:wordWrap/>
        <w:overflowPunct/>
        <w:topLinePunct w:val="0"/>
        <w:autoSpaceDE/>
        <w:autoSpaceDN/>
        <w:bidi w:val="0"/>
        <w:adjustRightInd/>
        <w:snapToGrid/>
        <w:spacing w:line="520" w:lineRule="exact"/>
        <w:ind w:right="420" w:rightChars="20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本章中，未明确标注为技术、服务要求或合同草案的条款为本项目必须执行的条款，供应商参与本项目的政府采购活动即视为供应商已接受此类条款。除磋商文件有明确要求外，供应商无须在响应文件中对此类条款作出书面应答。</w:t>
      </w:r>
    </w:p>
    <w:p>
      <w:pPr>
        <w:widowControl/>
        <w:jc w:val="left"/>
        <w:rPr>
          <w:rFonts w:hint="eastAsia" w:ascii="方正仿宋_GBK" w:hAnsi="方正仿宋_GBK" w:eastAsia="方正仿宋_GBK" w:cs="方正仿宋_GBK"/>
          <w:b/>
          <w:color w:val="000000"/>
          <w:sz w:val="44"/>
        </w:rPr>
      </w:pPr>
      <w:r>
        <w:rPr>
          <w:rFonts w:hint="eastAsia" w:ascii="方正仿宋_GBK" w:hAnsi="方正仿宋_GBK" w:eastAsia="方正仿宋_GBK" w:cs="方正仿宋_GBK"/>
          <w:b/>
          <w:color w:val="000000"/>
          <w:sz w:val="44"/>
        </w:rPr>
        <w:br w:type="page"/>
      </w:r>
    </w:p>
    <w:p>
      <w:pPr>
        <w:pStyle w:val="2"/>
        <w:spacing w:before="0" w:after="0" w:line="240" w:lineRule="auto"/>
        <w:ind w:left="1485" w:hanging="1485"/>
        <w:jc w:val="center"/>
        <w:rPr>
          <w:rFonts w:hint="eastAsia" w:ascii="方正仿宋_GBK" w:hAnsi="方正仿宋_GBK" w:eastAsia="方正仿宋_GBK" w:cs="方正仿宋_GBK"/>
          <w:bCs/>
          <w:color w:val="000000"/>
          <w:sz w:val="36"/>
          <w:szCs w:val="36"/>
        </w:rPr>
      </w:pPr>
      <w:bookmarkStart w:id="308" w:name="_Toc63765811"/>
      <w:bookmarkStart w:id="309" w:name="_Toc14353"/>
      <w:bookmarkStart w:id="310" w:name="_Toc9213"/>
      <w:bookmarkStart w:id="311" w:name="_Toc28904"/>
      <w:bookmarkStart w:id="312" w:name="_Toc17210"/>
      <w:bookmarkStart w:id="313" w:name="_Toc12976"/>
      <w:r>
        <w:rPr>
          <w:rFonts w:hint="eastAsia" w:ascii="方正仿宋_GBK" w:hAnsi="方正仿宋_GBK" w:eastAsia="方正仿宋_GBK" w:cs="方正仿宋_GBK"/>
          <w:bCs/>
          <w:color w:val="000000"/>
          <w:sz w:val="36"/>
          <w:szCs w:val="36"/>
        </w:rPr>
        <w:t>第五章 供应商响应文件相关文书格式</w:t>
      </w:r>
      <w:bookmarkEnd w:id="308"/>
      <w:bookmarkEnd w:id="309"/>
      <w:bookmarkEnd w:id="310"/>
      <w:bookmarkEnd w:id="311"/>
      <w:bookmarkEnd w:id="312"/>
      <w:bookmarkEnd w:id="313"/>
    </w:p>
    <w:p>
      <w:pPr>
        <w:rPr>
          <w:rFonts w:hint="eastAsia" w:ascii="方正仿宋_GBK" w:hAnsi="方正仿宋_GBK" w:eastAsia="方正仿宋_GBK" w:cs="方正仿宋_GBK"/>
        </w:rPr>
      </w:pPr>
    </w:p>
    <w:p>
      <w:pPr>
        <w:pStyle w:val="5"/>
        <w:numPr>
          <w:ilvl w:val="0"/>
          <w:numId w:val="7"/>
        </w:numPr>
        <w:jc w:val="center"/>
        <w:rPr>
          <w:rFonts w:hint="eastAsia" w:ascii="方正仿宋_GBK" w:hAnsi="方正仿宋_GBK" w:eastAsia="方正仿宋_GBK" w:cs="方正仿宋_GBK"/>
        </w:rPr>
      </w:pPr>
      <w:bookmarkStart w:id="314" w:name="_Toc27818"/>
      <w:bookmarkStart w:id="315" w:name="_Toc63765812"/>
      <w:bookmarkStart w:id="316" w:name="_Toc4777"/>
      <w:bookmarkStart w:id="317" w:name="_Toc16925"/>
      <w:r>
        <w:rPr>
          <w:rFonts w:hint="eastAsia" w:ascii="方正仿宋_GBK" w:hAnsi="方正仿宋_GBK" w:eastAsia="方正仿宋_GBK" w:cs="方正仿宋_GBK"/>
        </w:rPr>
        <w:t>资格响应部分</w:t>
      </w:r>
      <w:bookmarkEnd w:id="314"/>
      <w:bookmarkEnd w:id="315"/>
      <w:bookmarkEnd w:id="316"/>
      <w:bookmarkEnd w:id="317"/>
    </w:p>
    <w:p>
      <w:pPr>
        <w:tabs>
          <w:tab w:val="left" w:pos="330"/>
        </w:tabs>
        <w:jc w:val="center"/>
        <w:rPr>
          <w:rFonts w:hint="eastAsia" w:ascii="方正仿宋_GBK" w:hAnsi="方正仿宋_GBK" w:eastAsia="方正仿宋_GBK" w:cs="方正仿宋_GBK"/>
          <w:b/>
          <w:sz w:val="24"/>
        </w:rPr>
      </w:pPr>
      <w:r>
        <w:rPr>
          <w:rFonts w:hint="eastAsia" w:ascii="方正仿宋_GBK" w:hAnsi="方正仿宋_GBK" w:eastAsia="方正仿宋_GBK" w:cs="方正仿宋_GBK"/>
          <w:b/>
          <w:sz w:val="24"/>
        </w:rPr>
        <w:t>（注：“磋商承诺函”为实质性格式要求，供应商应当遵照并响应。）</w:t>
      </w:r>
    </w:p>
    <w:p>
      <w:pPr>
        <w:tabs>
          <w:tab w:val="left" w:pos="330"/>
        </w:tabs>
        <w:spacing w:line="400" w:lineRule="exact"/>
        <w:ind w:firstLine="470" w:firstLineChars="196"/>
        <w:rPr>
          <w:rFonts w:hint="eastAsia" w:ascii="方正仿宋_GBK" w:hAnsi="方正仿宋_GBK" w:eastAsia="方正仿宋_GBK" w:cs="方正仿宋_GBK"/>
          <w:bCs/>
          <w:sz w:val="24"/>
        </w:rPr>
      </w:pPr>
    </w:p>
    <w:p>
      <w:pPr>
        <w:spacing w:line="400" w:lineRule="exact"/>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一、具有独立承担民事责任的能力的证明材料</w:t>
      </w:r>
    </w:p>
    <w:p>
      <w:pPr>
        <w:spacing w:line="400" w:lineRule="exact"/>
        <w:ind w:firstLine="482" w:firstLineChars="200"/>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（一）……</w:t>
      </w:r>
    </w:p>
    <w:p>
      <w:pPr>
        <w:spacing w:line="400" w:lineRule="exact"/>
        <w:ind w:firstLine="480" w:firstLineChars="200"/>
        <w:rPr>
          <w:rFonts w:hint="eastAsia" w:ascii="方正仿宋_GBK" w:hAnsi="方正仿宋_GBK" w:eastAsia="方正仿宋_GBK" w:cs="方正仿宋_GBK"/>
          <w:bCs/>
          <w:sz w:val="24"/>
        </w:rPr>
      </w:pPr>
      <w:r>
        <w:rPr>
          <w:rFonts w:hint="eastAsia" w:ascii="方正仿宋_GBK" w:hAnsi="方正仿宋_GBK" w:eastAsia="方正仿宋_GBK" w:cs="方正仿宋_GBK"/>
          <w:bCs/>
          <w:sz w:val="24"/>
        </w:rPr>
        <w:t>__________________</w:t>
      </w:r>
    </w:p>
    <w:p>
      <w:pPr>
        <w:spacing w:line="400" w:lineRule="exact"/>
        <w:ind w:firstLine="482" w:firstLineChars="200"/>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w:t>
      </w:r>
    </w:p>
    <w:p>
      <w:pPr>
        <w:spacing w:line="400" w:lineRule="exact"/>
        <w:ind w:firstLine="482" w:firstLineChars="200"/>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（N）授权委托书</w:t>
      </w:r>
    </w:p>
    <w:p>
      <w:pPr>
        <w:spacing w:line="400" w:lineRule="exact"/>
        <w:rPr>
          <w:rFonts w:hint="eastAsia" w:ascii="方正仿宋_GBK" w:hAnsi="方正仿宋_GBK" w:eastAsia="方正仿宋_GBK" w:cs="方正仿宋_GBK"/>
          <w:sz w:val="22"/>
        </w:rPr>
      </w:pPr>
      <w:bookmarkStart w:id="318" w:name="【Bobole_代理机构名称_4】"/>
      <w:r>
        <w:rPr>
          <w:rFonts w:hint="eastAsia" w:ascii="方正仿宋_GBK" w:hAnsi="方正仿宋_GBK" w:eastAsia="方正仿宋_GBK" w:cs="方正仿宋_GBK"/>
          <w:sz w:val="22"/>
        </w:rPr>
        <w:t>四川振嘉工程招标代理有限公司</w:t>
      </w:r>
      <w:bookmarkEnd w:id="318"/>
      <w:r>
        <w:rPr>
          <w:rFonts w:hint="eastAsia" w:ascii="方正仿宋_GBK" w:hAnsi="方正仿宋_GBK" w:eastAsia="方正仿宋_GBK" w:cs="方正仿宋_GBK"/>
          <w:sz w:val="22"/>
        </w:rPr>
        <w:t>：</w:t>
      </w:r>
    </w:p>
    <w:p>
      <w:pPr>
        <w:spacing w:line="400" w:lineRule="exact"/>
        <w:ind w:firstLine="537" w:firstLineChars="224"/>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兹委托我方</w:t>
      </w:r>
      <w:r>
        <w:rPr>
          <w:rFonts w:hint="eastAsia" w:ascii="方正仿宋_GBK" w:hAnsi="方正仿宋_GBK" w:eastAsia="方正仿宋_GBK" w:cs="方正仿宋_GBK"/>
          <w:sz w:val="24"/>
          <w:u w:val="single"/>
        </w:rPr>
        <w:t>（填写姓名及身份证号）</w:t>
      </w:r>
      <w:r>
        <w:rPr>
          <w:rFonts w:hint="eastAsia" w:ascii="方正仿宋_GBK" w:hAnsi="方正仿宋_GBK" w:eastAsia="方正仿宋_GBK" w:cs="方正仿宋_GBK"/>
          <w:sz w:val="24"/>
        </w:rPr>
        <w:t>为授权代表，参加</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项目（</w:t>
      </w:r>
      <w:bookmarkStart w:id="319" w:name="【Bobole_项目编号_2】"/>
      <w:r>
        <w:rPr>
          <w:rFonts w:hint="eastAsia" w:ascii="方正仿宋_GBK" w:hAnsi="方正仿宋_GBK" w:eastAsia="方正仿宋_GBK" w:cs="方正仿宋_GBK"/>
          <w:sz w:val="24"/>
        </w:rPr>
        <w:t>511901202100149</w:t>
      </w:r>
      <w:bookmarkEnd w:id="319"/>
      <w:r>
        <w:rPr>
          <w:rFonts w:hint="eastAsia" w:ascii="方正仿宋_GBK" w:hAnsi="方正仿宋_GBK" w:eastAsia="方正仿宋_GBK" w:cs="方正仿宋_GBK"/>
          <w:sz w:val="24"/>
        </w:rPr>
        <w:t>）的磋商活动，并全权代表我方处理磋商活动中的一切事宜。</w:t>
      </w:r>
    </w:p>
    <w:p>
      <w:pPr>
        <w:spacing w:line="400" w:lineRule="exact"/>
        <w:ind w:firstLine="537" w:firstLineChars="224"/>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授权代表在我方的内部职务是________，其详细通信地址为________，其联系电话为________。</w:t>
      </w:r>
    </w:p>
    <w:p>
      <w:pPr>
        <w:spacing w:line="400" w:lineRule="exact"/>
        <w:ind w:firstLine="537" w:firstLineChars="224"/>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授权代表在采购活动中以我方名义签署的一切文书，我方均予以认可，对授权代表的签名负全部责任。</w:t>
      </w:r>
    </w:p>
    <w:p>
      <w:pPr>
        <w:spacing w:line="400" w:lineRule="exact"/>
        <w:ind w:firstLine="537" w:firstLineChars="224"/>
        <w:rPr>
          <w:rFonts w:hint="eastAsia" w:ascii="方正仿宋_GBK" w:hAnsi="方正仿宋_GBK" w:eastAsia="方正仿宋_GBK" w:cs="方正仿宋_GBK"/>
          <w:sz w:val="24"/>
        </w:rPr>
      </w:pPr>
    </w:p>
    <w:p>
      <w:pPr>
        <w:spacing w:line="40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委托期限：</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年</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月</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日到</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年</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月</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日止。</w:t>
      </w:r>
    </w:p>
    <w:p>
      <w:pPr>
        <w:spacing w:line="400" w:lineRule="exact"/>
        <w:rPr>
          <w:rFonts w:hint="eastAsia" w:ascii="方正仿宋_GBK" w:hAnsi="方正仿宋_GBK" w:eastAsia="方正仿宋_GBK" w:cs="方正仿宋_GBK"/>
          <w:sz w:val="24"/>
        </w:rPr>
      </w:pPr>
    </w:p>
    <w:p>
      <w:pPr>
        <w:spacing w:line="360" w:lineRule="auto"/>
        <w:ind w:firstLine="3120" w:firstLineChars="1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供应商：</w:t>
      </w:r>
      <w:r>
        <w:rPr>
          <w:rFonts w:hint="eastAsia" w:ascii="方正仿宋_GBK" w:hAnsi="方正仿宋_GBK" w:eastAsia="方正仿宋_GBK" w:cs="方正仿宋_GBK"/>
          <w:sz w:val="24"/>
          <w:u w:val="single"/>
        </w:rPr>
        <w:t>（名称和加盖公章）</w:t>
      </w:r>
    </w:p>
    <w:p>
      <w:pPr>
        <w:spacing w:line="360" w:lineRule="auto"/>
        <w:ind w:firstLine="3120" w:firstLineChars="1300"/>
        <w:rPr>
          <w:rFonts w:hint="eastAsia" w:ascii="方正仿宋_GBK" w:hAnsi="方正仿宋_GBK" w:eastAsia="方正仿宋_GBK" w:cs="方正仿宋_GBK"/>
          <w:sz w:val="24"/>
          <w:u w:val="single"/>
        </w:rPr>
      </w:pPr>
      <w:r>
        <w:rPr>
          <w:rFonts w:hint="eastAsia" w:ascii="方正仿宋_GBK" w:hAnsi="方正仿宋_GBK" w:eastAsia="方正仿宋_GBK" w:cs="方正仿宋_GBK"/>
          <w:sz w:val="24"/>
        </w:rPr>
        <w:t>法定代表人（或其他组织的负责人）：</w:t>
      </w:r>
      <w:r>
        <w:rPr>
          <w:rFonts w:hint="eastAsia" w:ascii="方正仿宋_GBK" w:hAnsi="方正仿宋_GBK" w:eastAsia="方正仿宋_GBK" w:cs="方正仿宋_GBK"/>
          <w:sz w:val="24"/>
          <w:u w:val="single"/>
        </w:rPr>
        <w:t>（签字）</w:t>
      </w:r>
    </w:p>
    <w:p>
      <w:pPr>
        <w:spacing w:line="360" w:lineRule="auto"/>
        <w:ind w:firstLine="3120" w:firstLineChars="1300"/>
        <w:rPr>
          <w:rFonts w:hint="eastAsia" w:ascii="方正仿宋_GBK" w:hAnsi="方正仿宋_GBK" w:eastAsia="方正仿宋_GBK" w:cs="方正仿宋_GBK"/>
          <w:sz w:val="24"/>
          <w:u w:val="single"/>
        </w:rPr>
      </w:pPr>
      <w:r>
        <w:rPr>
          <w:rFonts w:hint="eastAsia" w:ascii="方正仿宋_GBK" w:hAnsi="方正仿宋_GBK" w:eastAsia="方正仿宋_GBK" w:cs="方正仿宋_GBK"/>
          <w:sz w:val="24"/>
        </w:rPr>
        <w:t>授权代表：</w:t>
      </w:r>
      <w:r>
        <w:rPr>
          <w:rFonts w:hint="eastAsia" w:ascii="方正仿宋_GBK" w:hAnsi="方正仿宋_GBK" w:eastAsia="方正仿宋_GBK" w:cs="方正仿宋_GBK"/>
          <w:sz w:val="24"/>
          <w:u w:val="single"/>
        </w:rPr>
        <w:t>（签字）</w:t>
      </w:r>
    </w:p>
    <w:p>
      <w:pPr>
        <w:spacing w:line="360" w:lineRule="auto"/>
        <w:ind w:firstLine="3120" w:firstLineChars="1300"/>
        <w:rPr>
          <w:rFonts w:hint="eastAsia" w:ascii="方正仿宋_GBK" w:hAnsi="方正仿宋_GBK" w:eastAsia="方正仿宋_GBK" w:cs="方正仿宋_GBK"/>
          <w:sz w:val="24"/>
        </w:rPr>
      </w:pPr>
    </w:p>
    <w:p>
      <w:pPr>
        <w:spacing w:line="400" w:lineRule="exact"/>
        <w:jc w:val="righ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______年___月___日</w:t>
      </w:r>
    </w:p>
    <w:p>
      <w:pPr>
        <w:spacing w:line="400" w:lineRule="exact"/>
        <w:rPr>
          <w:rFonts w:hint="eastAsia" w:ascii="方正仿宋_GBK" w:hAnsi="方正仿宋_GBK" w:eastAsia="方正仿宋_GBK" w:cs="方正仿宋_GBK"/>
          <w:sz w:val="24"/>
        </w:rPr>
      </w:pPr>
    </w:p>
    <w:p>
      <w:pPr>
        <w:spacing w:line="40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附：授权代表身份证</w:t>
      </w:r>
    </w:p>
    <w:p>
      <w:pPr>
        <w:spacing w:line="40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_________</w:t>
      </w:r>
      <w:r>
        <w:rPr>
          <w:rFonts w:hint="eastAsia" w:ascii="方正仿宋_GBK" w:hAnsi="方正仿宋_GBK" w:eastAsia="方正仿宋_GBK" w:cs="方正仿宋_GBK"/>
          <w:bCs/>
          <w:sz w:val="24"/>
        </w:rPr>
        <w:t>________</w:t>
      </w:r>
      <w:r>
        <w:rPr>
          <w:rFonts w:hint="eastAsia" w:ascii="方正仿宋_GBK" w:hAnsi="方正仿宋_GBK" w:eastAsia="方正仿宋_GBK" w:cs="方正仿宋_GBK"/>
          <w:sz w:val="24"/>
        </w:rPr>
        <w:t>_______</w:t>
      </w:r>
    </w:p>
    <w:p>
      <w:pPr>
        <w:spacing w:line="400" w:lineRule="exact"/>
        <w:ind w:firstLine="480" w:firstLineChars="200"/>
        <w:rPr>
          <w:rFonts w:hint="eastAsia" w:ascii="方正仿宋_GBK" w:hAnsi="方正仿宋_GBK" w:eastAsia="方正仿宋_GBK" w:cs="方正仿宋_GBK"/>
          <w:sz w:val="24"/>
        </w:rPr>
      </w:pPr>
    </w:p>
    <w:p>
      <w:pPr>
        <w:spacing w:line="400" w:lineRule="exact"/>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二、具有良好的商业信誉和健全的财务会计制度</w:t>
      </w:r>
    </w:p>
    <w:p>
      <w:pPr>
        <w:spacing w:line="400" w:lineRule="exact"/>
        <w:rPr>
          <w:rFonts w:hint="eastAsia" w:ascii="方正仿宋_GBK" w:hAnsi="方正仿宋_GBK" w:eastAsia="方正仿宋_GBK" w:cs="方正仿宋_GBK"/>
          <w:bCs/>
          <w:sz w:val="24"/>
        </w:rPr>
      </w:pPr>
      <w:r>
        <w:rPr>
          <w:rFonts w:hint="eastAsia" w:ascii="方正仿宋_GBK" w:hAnsi="方正仿宋_GBK" w:eastAsia="方正仿宋_GBK" w:cs="方正仿宋_GBK"/>
          <w:bCs/>
          <w:sz w:val="24"/>
        </w:rPr>
        <w:t>__________________________</w:t>
      </w:r>
    </w:p>
    <w:p>
      <w:pPr>
        <w:spacing w:line="400" w:lineRule="exact"/>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三、具有履行合同所必需的设备和专业技术能力</w:t>
      </w:r>
    </w:p>
    <w:p>
      <w:pPr>
        <w:spacing w:line="400" w:lineRule="exact"/>
        <w:rPr>
          <w:rFonts w:hint="eastAsia" w:ascii="方正仿宋_GBK" w:hAnsi="方正仿宋_GBK" w:eastAsia="方正仿宋_GBK" w:cs="方正仿宋_GBK"/>
          <w:bCs/>
          <w:sz w:val="24"/>
        </w:rPr>
      </w:pPr>
      <w:r>
        <w:rPr>
          <w:rFonts w:hint="eastAsia" w:ascii="方正仿宋_GBK" w:hAnsi="方正仿宋_GBK" w:eastAsia="方正仿宋_GBK" w:cs="方正仿宋_GBK"/>
          <w:bCs/>
          <w:sz w:val="24"/>
        </w:rPr>
        <w:t>_________________________</w:t>
      </w:r>
    </w:p>
    <w:p>
      <w:pPr>
        <w:spacing w:line="400" w:lineRule="exact"/>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四、有依法缴纳税收和社会保障资金的良好记录</w:t>
      </w:r>
    </w:p>
    <w:p>
      <w:pPr>
        <w:spacing w:line="400" w:lineRule="exact"/>
        <w:rPr>
          <w:rFonts w:hint="eastAsia" w:ascii="方正仿宋_GBK" w:hAnsi="方正仿宋_GBK" w:eastAsia="方正仿宋_GBK" w:cs="方正仿宋_GBK"/>
          <w:bCs/>
          <w:sz w:val="24"/>
        </w:rPr>
      </w:pPr>
      <w:r>
        <w:rPr>
          <w:rFonts w:hint="eastAsia" w:ascii="方正仿宋_GBK" w:hAnsi="方正仿宋_GBK" w:eastAsia="方正仿宋_GBK" w:cs="方正仿宋_GBK"/>
          <w:bCs/>
          <w:sz w:val="24"/>
        </w:rPr>
        <w:t>_________________________</w:t>
      </w:r>
    </w:p>
    <w:p>
      <w:pPr>
        <w:spacing w:line="400" w:lineRule="exact"/>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五、参加本次政府采购活动前3年内，在经营活动中没有重大违法记录</w:t>
      </w:r>
    </w:p>
    <w:p>
      <w:pPr>
        <w:spacing w:line="400" w:lineRule="exact"/>
        <w:rPr>
          <w:rFonts w:hint="eastAsia" w:ascii="方正仿宋_GBK" w:hAnsi="方正仿宋_GBK" w:eastAsia="方正仿宋_GBK" w:cs="方正仿宋_GBK"/>
          <w:bCs/>
          <w:sz w:val="24"/>
        </w:rPr>
      </w:pPr>
      <w:r>
        <w:rPr>
          <w:rFonts w:hint="eastAsia" w:ascii="方正仿宋_GBK" w:hAnsi="方正仿宋_GBK" w:eastAsia="方正仿宋_GBK" w:cs="方正仿宋_GBK"/>
          <w:bCs/>
          <w:sz w:val="24"/>
        </w:rPr>
        <w:t>__________________________</w:t>
      </w:r>
    </w:p>
    <w:p>
      <w:pPr>
        <w:spacing w:line="400" w:lineRule="exact"/>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六、法律、行政法规规定的其他条件</w:t>
      </w:r>
    </w:p>
    <w:p>
      <w:pPr>
        <w:spacing w:line="400" w:lineRule="exact"/>
        <w:rPr>
          <w:rFonts w:hint="eastAsia" w:ascii="方正仿宋_GBK" w:hAnsi="方正仿宋_GBK" w:eastAsia="方正仿宋_GBK" w:cs="方正仿宋_GBK"/>
          <w:bCs/>
          <w:sz w:val="24"/>
        </w:rPr>
      </w:pPr>
      <w:r>
        <w:rPr>
          <w:rFonts w:hint="eastAsia" w:ascii="方正仿宋_GBK" w:hAnsi="方正仿宋_GBK" w:eastAsia="方正仿宋_GBK" w:cs="方正仿宋_GBK"/>
          <w:bCs/>
          <w:sz w:val="24"/>
        </w:rPr>
        <w:t>__________________________</w:t>
      </w:r>
    </w:p>
    <w:p>
      <w:pPr>
        <w:spacing w:line="400" w:lineRule="exact"/>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七、采购项目的特殊要求</w:t>
      </w:r>
    </w:p>
    <w:p>
      <w:pPr>
        <w:tabs>
          <w:tab w:val="left" w:pos="330"/>
        </w:tabs>
        <w:spacing w:line="400" w:lineRule="exact"/>
        <w:ind w:firstLine="472" w:firstLineChars="196"/>
        <w:rPr>
          <w:rFonts w:hint="eastAsia" w:ascii="方正仿宋_GBK" w:hAnsi="方正仿宋_GBK" w:eastAsia="方正仿宋_GBK" w:cs="方正仿宋_GBK"/>
          <w:b/>
          <w:bCs/>
          <w:sz w:val="28"/>
        </w:rPr>
      </w:pPr>
      <w:r>
        <w:rPr>
          <w:rFonts w:hint="eastAsia" w:ascii="方正仿宋_GBK" w:hAnsi="方正仿宋_GBK" w:eastAsia="方正仿宋_GBK" w:cs="方正仿宋_GBK"/>
          <w:b/>
          <w:bCs/>
          <w:sz w:val="24"/>
        </w:rPr>
        <w:t>（一）磋商承诺函</w:t>
      </w:r>
    </w:p>
    <w:p>
      <w:pPr>
        <w:spacing w:line="400" w:lineRule="exact"/>
        <w:rPr>
          <w:rFonts w:hint="eastAsia" w:ascii="方正仿宋_GBK" w:hAnsi="方正仿宋_GBK" w:eastAsia="方正仿宋_GBK" w:cs="方正仿宋_GBK"/>
          <w:sz w:val="22"/>
        </w:rPr>
      </w:pPr>
      <w:r>
        <w:rPr>
          <w:rFonts w:hint="eastAsia" w:ascii="方正仿宋_GBK" w:hAnsi="方正仿宋_GBK" w:eastAsia="方正仿宋_GBK" w:cs="方正仿宋_GBK"/>
          <w:sz w:val="24"/>
          <w:szCs w:val="28"/>
          <w:u w:val="single"/>
        </w:rPr>
        <w:t>（采购代理机构名称）</w:t>
      </w:r>
      <w:r>
        <w:rPr>
          <w:rFonts w:hint="eastAsia" w:ascii="方正仿宋_GBK" w:hAnsi="方正仿宋_GBK" w:eastAsia="方正仿宋_GBK" w:cs="方正仿宋_GBK"/>
          <w:sz w:val="22"/>
          <w:u w:val="single"/>
        </w:rPr>
        <w:t>：</w:t>
      </w:r>
    </w:p>
    <w:p>
      <w:pPr>
        <w:spacing w:line="4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我方全面研究了________________项目（</w:t>
      </w:r>
      <w:r>
        <w:rPr>
          <w:rFonts w:hint="eastAsia" w:ascii="方正仿宋_GBK" w:hAnsi="方正仿宋_GBK" w:eastAsia="方正仿宋_GBK" w:cs="方正仿宋_GBK"/>
          <w:sz w:val="24"/>
          <w:szCs w:val="28"/>
        </w:rPr>
        <w:t>项目编号：______〔____〕__号</w:t>
      </w:r>
      <w:r>
        <w:rPr>
          <w:rFonts w:hint="eastAsia" w:ascii="方正仿宋_GBK" w:hAnsi="方正仿宋_GBK" w:eastAsia="方正仿宋_GBK" w:cs="方正仿宋_GBK"/>
          <w:sz w:val="24"/>
        </w:rPr>
        <w:t>）磋商文件，决定参加贵单位组织的竞争性磋商采购活动。我方授权__</w:t>
      </w:r>
      <w:r>
        <w:rPr>
          <w:rFonts w:hint="eastAsia" w:ascii="方正仿宋_GBK" w:hAnsi="方正仿宋_GBK" w:eastAsia="方正仿宋_GBK" w:cs="方正仿宋_GBK"/>
          <w:sz w:val="24"/>
          <w:u w:val="single"/>
        </w:rPr>
        <w:t>（姓名、职务）</w:t>
      </w:r>
      <w:r>
        <w:rPr>
          <w:rFonts w:hint="eastAsia" w:ascii="方正仿宋_GBK" w:hAnsi="方正仿宋_GBK" w:eastAsia="方正仿宋_GBK" w:cs="方正仿宋_GBK"/>
          <w:sz w:val="24"/>
        </w:rPr>
        <w:t>__代表我方全权处理本项目政府采购活动的有关事宜。按照磋商文件要求，我方现郑重承诺如下：</w:t>
      </w:r>
    </w:p>
    <w:p>
      <w:pPr>
        <w:spacing w:line="4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一、我方完全具备《中华人民共和国政府采购法》第二十二条第一款和本项目规定的条件；</w:t>
      </w:r>
    </w:p>
    <w:p>
      <w:pPr>
        <w:spacing w:line="4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二、我方完全接受和满足本项目磋商文件中规定的实质性要求，知悉并接受本项目有关知识产权的要求，知悉并接受本次磋商响应的有效期为</w:t>
      </w:r>
      <w:r>
        <w:rPr>
          <w:rFonts w:hint="eastAsia" w:ascii="方正仿宋_GBK" w:hAnsi="方正仿宋_GBK" w:eastAsia="方正仿宋_GBK" w:cs="方正仿宋_GBK"/>
          <w:sz w:val="24"/>
          <w:u w:val="single"/>
        </w:rPr>
        <w:t>90</w:t>
      </w:r>
      <w:r>
        <w:rPr>
          <w:rFonts w:hint="eastAsia" w:ascii="方正仿宋_GBK" w:hAnsi="方正仿宋_GBK" w:eastAsia="方正仿宋_GBK" w:cs="方正仿宋_GBK"/>
          <w:sz w:val="24"/>
        </w:rPr>
        <w:t>日，如对磋商文件有异议，已经在提交首次响应文件的截止时间届满前依法进行维权救济，不存在对磋商文件有异议的同时又参加磋商响应以求侥幸成交或者为实现其他非法目的的行为。</w:t>
      </w:r>
    </w:p>
    <w:p>
      <w:pPr>
        <w:spacing w:line="4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三、参加本次政府采购活动，不存在与单位负责人为同一人或者存在直接控股、管理关系的其他供应商参与同一合同项下的政府采购活动的行为。</w:t>
      </w:r>
    </w:p>
    <w:p>
      <w:pPr>
        <w:spacing w:line="4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四、参加本次政府采购活动，不存在和其他供应商在同一合同项下的采购项目中，同时委托同一个自然人、同一家庭的人员、同一单位的人员作为代理人的行为。</w:t>
      </w:r>
    </w:p>
    <w:p>
      <w:pPr>
        <w:spacing w:line="4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五、我方在响应文件中的报价和前往贵处参加磋商活动人员的报价均为有效报价。我方派出赴贵单位参加磋商活动人员，在磋商中所做出的与我方响应文件中承诺不一致时，以现场磋商结果为准。</w:t>
      </w:r>
    </w:p>
    <w:p>
      <w:pPr>
        <w:spacing w:line="4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六、一旦我方成交，我方将严格履行政府采购合同规定的责任和义务。</w:t>
      </w:r>
    </w:p>
    <w:p>
      <w:pPr>
        <w:spacing w:line="4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七、我方同意磋商文件依据</w:t>
      </w:r>
      <w:r>
        <w:rPr>
          <w:rFonts w:hint="eastAsia" w:ascii="方正仿宋_GBK" w:hAnsi="方正仿宋_GBK" w:eastAsia="方正仿宋_GBK" w:cs="方正仿宋_GBK"/>
          <w:sz w:val="24"/>
          <w:lang w:eastAsia="zh-CN"/>
        </w:rPr>
        <w:t>相关文件</w:t>
      </w:r>
      <w:r>
        <w:rPr>
          <w:rFonts w:hint="eastAsia" w:ascii="方正仿宋_GBK" w:hAnsi="方正仿宋_GBK" w:eastAsia="方正仿宋_GBK" w:cs="方正仿宋_GBK"/>
          <w:sz w:val="24"/>
        </w:rPr>
        <w:t>对我方可能存在的失信行为进行的惩戒。如果我方存在失信行为，将在响应文件中全面如实反映。</w:t>
      </w:r>
    </w:p>
    <w:p>
      <w:pPr>
        <w:spacing w:line="4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八、我方在磋商活动中提供的一切文件、证明和资料均是真实、准确、有效的。我方愿意提供贵方可能另外要求的，与政府采购活动有关的文件资料，并保证我方已提供和将要提供的文件资料是真实、准确、有效的。若有违法违规行为，我方将自动放弃参加本次政府采购活动的权利，并自觉接受有关处罚。</w:t>
      </w:r>
    </w:p>
    <w:p>
      <w:pPr>
        <w:spacing w:line="4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九、我方郑重承诺，在参加本次政府采购活动前，未被纳入法院、工商行政管理部门、税务部门、银行认定的失信名单且在有效期内，亦未有在前3年政府采购合同履约过程中及其他经营活动履约过程中未依法履约被有关行政部门处罚（处理）的情形。若有以上情形，我方将自动放弃参加本次政府采购活动的权利。</w:t>
      </w:r>
    </w:p>
    <w:p>
      <w:pPr>
        <w:spacing w:line="4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十、我方郑重承诺，我方的“供应商代表”无行贿犯罪记录，参加本次政府采购活动前三年内，具有良好的商业信誉，在经营活动中没有重大违法违规记录。</w:t>
      </w:r>
    </w:p>
    <w:p>
      <w:pPr>
        <w:spacing w:after="624" w:afterLines="200" w:line="4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十一、若成交，本承诺函将成为合同不可分割的一部分。</w:t>
      </w:r>
    </w:p>
    <w:p>
      <w:pPr>
        <w:spacing w:line="360" w:lineRule="auto"/>
        <w:ind w:firstLine="3600" w:firstLineChars="15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供应商：</w:t>
      </w:r>
      <w:r>
        <w:rPr>
          <w:rFonts w:hint="eastAsia" w:ascii="方正仿宋_GBK" w:hAnsi="方正仿宋_GBK" w:eastAsia="方正仿宋_GBK" w:cs="方正仿宋_GBK"/>
          <w:sz w:val="24"/>
          <w:u w:val="single"/>
        </w:rPr>
        <w:t>（名称和加盖公章）</w:t>
      </w:r>
    </w:p>
    <w:p>
      <w:pPr>
        <w:spacing w:line="360" w:lineRule="auto"/>
        <w:ind w:firstLine="3600" w:firstLineChars="15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供应商代表：</w:t>
      </w:r>
      <w:r>
        <w:rPr>
          <w:rFonts w:hint="eastAsia" w:ascii="方正仿宋_GBK" w:hAnsi="方正仿宋_GBK" w:eastAsia="方正仿宋_GBK" w:cs="方正仿宋_GBK"/>
          <w:sz w:val="24"/>
          <w:u w:val="single"/>
        </w:rPr>
        <w:t>（签字）</w:t>
      </w:r>
    </w:p>
    <w:p>
      <w:pPr>
        <w:spacing w:line="400" w:lineRule="exact"/>
        <w:jc w:val="righ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______年___月___日</w:t>
      </w:r>
    </w:p>
    <w:p>
      <w:pPr>
        <w:spacing w:line="400" w:lineRule="exact"/>
        <w:ind w:firstLine="480" w:firstLineChars="200"/>
        <w:rPr>
          <w:rFonts w:hint="eastAsia" w:ascii="方正仿宋_GBK" w:hAnsi="方正仿宋_GBK" w:eastAsia="方正仿宋_GBK" w:cs="方正仿宋_GBK"/>
          <w:sz w:val="24"/>
        </w:rPr>
      </w:pPr>
    </w:p>
    <w:p>
      <w:pPr>
        <w:spacing w:line="400" w:lineRule="exact"/>
        <w:ind w:firstLine="472" w:firstLineChars="196"/>
        <w:jc w:val="left"/>
        <w:rPr>
          <w:rFonts w:hint="eastAsia" w:ascii="方正仿宋_GBK" w:hAnsi="方正仿宋_GBK" w:eastAsia="方正仿宋_GBK" w:cs="方正仿宋_GBK"/>
          <w:w w:val="66"/>
          <w:sz w:val="28"/>
        </w:rPr>
      </w:pPr>
      <w:r>
        <w:rPr>
          <w:rFonts w:hint="eastAsia" w:ascii="方正仿宋_GBK" w:hAnsi="方正仿宋_GBK" w:eastAsia="方正仿宋_GBK" w:cs="方正仿宋_GBK"/>
          <w:b/>
          <w:bCs/>
          <w:sz w:val="24"/>
        </w:rPr>
        <w:t>（二）</w:t>
      </w:r>
      <w:r>
        <w:rPr>
          <w:rFonts w:hint="eastAsia" w:ascii="方正仿宋_GBK" w:hAnsi="方正仿宋_GBK" w:eastAsia="方正仿宋_GBK" w:cs="方正仿宋_GBK"/>
          <w:b/>
          <w:sz w:val="24"/>
        </w:rPr>
        <w:t>供应商基本情况表</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1023"/>
        <w:gridCol w:w="902"/>
        <w:gridCol w:w="622"/>
        <w:gridCol w:w="1785"/>
        <w:gridCol w:w="1234"/>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12" w:type="pct"/>
            <w:gridSpan w:val="2"/>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单位名称</w:t>
            </w:r>
          </w:p>
        </w:tc>
        <w:tc>
          <w:tcPr>
            <w:tcW w:w="1941" w:type="pct"/>
            <w:gridSpan w:val="3"/>
            <w:vAlign w:val="center"/>
          </w:tcPr>
          <w:p>
            <w:pPr>
              <w:spacing w:line="400" w:lineRule="exact"/>
              <w:jc w:val="center"/>
              <w:rPr>
                <w:rFonts w:hint="eastAsia" w:ascii="方正仿宋_GBK" w:hAnsi="方正仿宋_GBK" w:eastAsia="方正仿宋_GBK" w:cs="方正仿宋_GBK"/>
                <w:sz w:val="24"/>
              </w:rPr>
            </w:pPr>
          </w:p>
        </w:tc>
        <w:tc>
          <w:tcPr>
            <w:tcW w:w="724" w:type="pct"/>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电    话</w:t>
            </w:r>
          </w:p>
        </w:tc>
        <w:tc>
          <w:tcPr>
            <w:tcW w:w="1423" w:type="pct"/>
          </w:tcPr>
          <w:p>
            <w:pPr>
              <w:spacing w:line="40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12" w:type="pct"/>
            <w:gridSpan w:val="2"/>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地    址</w:t>
            </w:r>
          </w:p>
        </w:tc>
        <w:tc>
          <w:tcPr>
            <w:tcW w:w="1941" w:type="pct"/>
            <w:gridSpan w:val="3"/>
            <w:vAlign w:val="center"/>
          </w:tcPr>
          <w:p>
            <w:pPr>
              <w:spacing w:line="400" w:lineRule="exact"/>
              <w:jc w:val="center"/>
              <w:rPr>
                <w:rFonts w:hint="eastAsia" w:ascii="方正仿宋_GBK" w:hAnsi="方正仿宋_GBK" w:eastAsia="方正仿宋_GBK" w:cs="方正仿宋_GBK"/>
                <w:sz w:val="24"/>
              </w:rPr>
            </w:pPr>
          </w:p>
        </w:tc>
        <w:tc>
          <w:tcPr>
            <w:tcW w:w="724" w:type="pct"/>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传    真</w:t>
            </w:r>
          </w:p>
        </w:tc>
        <w:tc>
          <w:tcPr>
            <w:tcW w:w="1423" w:type="pct"/>
          </w:tcPr>
          <w:p>
            <w:pPr>
              <w:spacing w:line="40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12" w:type="pct"/>
            <w:gridSpan w:val="2"/>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开户银行</w:t>
            </w:r>
          </w:p>
        </w:tc>
        <w:tc>
          <w:tcPr>
            <w:tcW w:w="1941" w:type="pct"/>
            <w:gridSpan w:val="3"/>
            <w:vAlign w:val="center"/>
          </w:tcPr>
          <w:p>
            <w:pPr>
              <w:spacing w:line="400" w:lineRule="exact"/>
              <w:jc w:val="center"/>
              <w:rPr>
                <w:rFonts w:hint="eastAsia" w:ascii="方正仿宋_GBK" w:hAnsi="方正仿宋_GBK" w:eastAsia="方正仿宋_GBK" w:cs="方正仿宋_GBK"/>
                <w:sz w:val="24"/>
              </w:rPr>
            </w:pPr>
          </w:p>
        </w:tc>
        <w:tc>
          <w:tcPr>
            <w:tcW w:w="724" w:type="pct"/>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账    号</w:t>
            </w:r>
          </w:p>
        </w:tc>
        <w:tc>
          <w:tcPr>
            <w:tcW w:w="1423" w:type="pct"/>
          </w:tcPr>
          <w:p>
            <w:pPr>
              <w:spacing w:line="40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12" w:type="pct"/>
            <w:gridSpan w:val="2"/>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主管部门</w:t>
            </w:r>
          </w:p>
        </w:tc>
        <w:tc>
          <w:tcPr>
            <w:tcW w:w="1941" w:type="pct"/>
            <w:gridSpan w:val="3"/>
            <w:vAlign w:val="center"/>
          </w:tcPr>
          <w:p>
            <w:pPr>
              <w:spacing w:line="400" w:lineRule="exact"/>
              <w:jc w:val="center"/>
              <w:rPr>
                <w:rFonts w:hint="eastAsia" w:ascii="方正仿宋_GBK" w:hAnsi="方正仿宋_GBK" w:eastAsia="方正仿宋_GBK" w:cs="方正仿宋_GBK"/>
                <w:sz w:val="24"/>
              </w:rPr>
            </w:pPr>
          </w:p>
        </w:tc>
        <w:tc>
          <w:tcPr>
            <w:tcW w:w="724" w:type="pct"/>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企业性质</w:t>
            </w:r>
          </w:p>
        </w:tc>
        <w:tc>
          <w:tcPr>
            <w:tcW w:w="1423" w:type="pct"/>
          </w:tcPr>
          <w:p>
            <w:pPr>
              <w:spacing w:line="40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12" w:type="pct"/>
            <w:gridSpan w:val="2"/>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法定代表人</w:t>
            </w:r>
          </w:p>
        </w:tc>
        <w:tc>
          <w:tcPr>
            <w:tcW w:w="1941" w:type="pct"/>
            <w:gridSpan w:val="3"/>
            <w:vAlign w:val="center"/>
          </w:tcPr>
          <w:p>
            <w:pPr>
              <w:spacing w:line="400" w:lineRule="exact"/>
              <w:jc w:val="center"/>
              <w:rPr>
                <w:rFonts w:hint="eastAsia" w:ascii="方正仿宋_GBK" w:hAnsi="方正仿宋_GBK" w:eastAsia="方正仿宋_GBK" w:cs="方正仿宋_GBK"/>
                <w:sz w:val="24"/>
              </w:rPr>
            </w:pPr>
          </w:p>
        </w:tc>
        <w:tc>
          <w:tcPr>
            <w:tcW w:w="724" w:type="pct"/>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授权代表</w:t>
            </w:r>
          </w:p>
        </w:tc>
        <w:tc>
          <w:tcPr>
            <w:tcW w:w="1423" w:type="pct"/>
          </w:tcPr>
          <w:p>
            <w:pPr>
              <w:spacing w:line="40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12" w:type="pct"/>
            <w:vMerge w:val="restart"/>
            <w:tcBorders>
              <w:left w:val="single" w:color="auto" w:sz="4" w:space="0"/>
            </w:tcBorders>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单位概况</w:t>
            </w:r>
          </w:p>
        </w:tc>
        <w:tc>
          <w:tcPr>
            <w:tcW w:w="1129" w:type="pct"/>
            <w:gridSpan w:val="2"/>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企业营业面积</w:t>
            </w:r>
          </w:p>
        </w:tc>
        <w:tc>
          <w:tcPr>
            <w:tcW w:w="1411" w:type="pct"/>
            <w:gridSpan w:val="2"/>
            <w:vAlign w:val="center"/>
          </w:tcPr>
          <w:p>
            <w:pPr>
              <w:spacing w:line="400" w:lineRule="exact"/>
              <w:jc w:val="center"/>
              <w:rPr>
                <w:rFonts w:hint="eastAsia" w:ascii="方正仿宋_GBK" w:hAnsi="方正仿宋_GBK" w:eastAsia="方正仿宋_GBK" w:cs="方正仿宋_GBK"/>
                <w:sz w:val="24"/>
              </w:rPr>
            </w:pPr>
          </w:p>
        </w:tc>
        <w:tc>
          <w:tcPr>
            <w:tcW w:w="724" w:type="pct"/>
            <w:vMerge w:val="restart"/>
            <w:vAlign w:val="center"/>
          </w:tcPr>
          <w:p>
            <w:pPr>
              <w:spacing w:line="400" w:lineRule="exact"/>
              <w:ind w:left="-2" w:leftChars="-1"/>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单位优势及特点</w:t>
            </w:r>
          </w:p>
        </w:tc>
        <w:tc>
          <w:tcPr>
            <w:tcW w:w="1423" w:type="pct"/>
            <w:vMerge w:val="restart"/>
          </w:tcPr>
          <w:p>
            <w:pPr>
              <w:spacing w:line="40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12" w:type="pct"/>
            <w:vMerge w:val="continue"/>
            <w:tcBorders>
              <w:left w:val="single" w:color="auto" w:sz="4" w:space="0"/>
            </w:tcBorders>
            <w:vAlign w:val="center"/>
          </w:tcPr>
          <w:p>
            <w:pPr>
              <w:spacing w:line="400" w:lineRule="exact"/>
              <w:jc w:val="center"/>
              <w:rPr>
                <w:rFonts w:hint="eastAsia" w:ascii="方正仿宋_GBK" w:hAnsi="方正仿宋_GBK" w:eastAsia="方正仿宋_GBK" w:cs="方正仿宋_GBK"/>
                <w:sz w:val="24"/>
              </w:rPr>
            </w:pPr>
          </w:p>
        </w:tc>
        <w:tc>
          <w:tcPr>
            <w:tcW w:w="1129" w:type="pct"/>
            <w:gridSpan w:val="2"/>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职工人数</w:t>
            </w:r>
          </w:p>
        </w:tc>
        <w:tc>
          <w:tcPr>
            <w:tcW w:w="1411" w:type="pct"/>
            <w:gridSpan w:val="2"/>
            <w:vAlign w:val="center"/>
          </w:tcPr>
          <w:p>
            <w:pPr>
              <w:spacing w:line="400" w:lineRule="exact"/>
              <w:jc w:val="center"/>
              <w:rPr>
                <w:rFonts w:hint="eastAsia" w:ascii="方正仿宋_GBK" w:hAnsi="方正仿宋_GBK" w:eastAsia="方正仿宋_GBK" w:cs="方正仿宋_GBK"/>
                <w:sz w:val="24"/>
              </w:rPr>
            </w:pPr>
          </w:p>
        </w:tc>
        <w:tc>
          <w:tcPr>
            <w:tcW w:w="724" w:type="pct"/>
            <w:vMerge w:val="continue"/>
          </w:tcPr>
          <w:p>
            <w:pPr>
              <w:spacing w:line="400" w:lineRule="exact"/>
              <w:jc w:val="right"/>
              <w:rPr>
                <w:rFonts w:hint="eastAsia" w:ascii="方正仿宋_GBK" w:hAnsi="方正仿宋_GBK" w:eastAsia="方正仿宋_GBK" w:cs="方正仿宋_GBK"/>
                <w:sz w:val="24"/>
              </w:rPr>
            </w:pPr>
          </w:p>
        </w:tc>
        <w:tc>
          <w:tcPr>
            <w:tcW w:w="1423" w:type="pct"/>
            <w:vMerge w:val="continue"/>
          </w:tcPr>
          <w:p>
            <w:pPr>
              <w:spacing w:line="40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12" w:type="pct"/>
            <w:vMerge w:val="continue"/>
            <w:tcBorders>
              <w:left w:val="single" w:color="auto" w:sz="4" w:space="0"/>
            </w:tcBorders>
            <w:vAlign w:val="center"/>
          </w:tcPr>
          <w:p>
            <w:pPr>
              <w:spacing w:line="400" w:lineRule="exact"/>
              <w:jc w:val="center"/>
              <w:rPr>
                <w:rFonts w:hint="eastAsia" w:ascii="方正仿宋_GBK" w:hAnsi="方正仿宋_GBK" w:eastAsia="方正仿宋_GBK" w:cs="方正仿宋_GBK"/>
                <w:sz w:val="24"/>
              </w:rPr>
            </w:pPr>
          </w:p>
        </w:tc>
        <w:tc>
          <w:tcPr>
            <w:tcW w:w="1129" w:type="pct"/>
            <w:gridSpan w:val="2"/>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注册资金</w:t>
            </w:r>
          </w:p>
        </w:tc>
        <w:tc>
          <w:tcPr>
            <w:tcW w:w="1411" w:type="pct"/>
            <w:gridSpan w:val="2"/>
            <w:vAlign w:val="center"/>
          </w:tcPr>
          <w:p>
            <w:pPr>
              <w:spacing w:line="400" w:lineRule="exact"/>
              <w:jc w:val="center"/>
              <w:rPr>
                <w:rFonts w:hint="eastAsia" w:ascii="方正仿宋_GBK" w:hAnsi="方正仿宋_GBK" w:eastAsia="方正仿宋_GBK" w:cs="方正仿宋_GBK"/>
                <w:sz w:val="24"/>
              </w:rPr>
            </w:pPr>
          </w:p>
        </w:tc>
        <w:tc>
          <w:tcPr>
            <w:tcW w:w="724" w:type="pct"/>
            <w:vMerge w:val="continue"/>
          </w:tcPr>
          <w:p>
            <w:pPr>
              <w:spacing w:line="400" w:lineRule="exact"/>
              <w:jc w:val="right"/>
              <w:rPr>
                <w:rFonts w:hint="eastAsia" w:ascii="方正仿宋_GBK" w:hAnsi="方正仿宋_GBK" w:eastAsia="方正仿宋_GBK" w:cs="方正仿宋_GBK"/>
                <w:sz w:val="24"/>
              </w:rPr>
            </w:pPr>
          </w:p>
        </w:tc>
        <w:tc>
          <w:tcPr>
            <w:tcW w:w="1423" w:type="pct"/>
            <w:vMerge w:val="continue"/>
          </w:tcPr>
          <w:p>
            <w:pPr>
              <w:spacing w:line="40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12" w:type="pct"/>
            <w:vMerge w:val="continue"/>
            <w:tcBorders>
              <w:left w:val="single" w:color="auto" w:sz="4" w:space="0"/>
            </w:tcBorders>
            <w:vAlign w:val="center"/>
          </w:tcPr>
          <w:p>
            <w:pPr>
              <w:spacing w:line="400" w:lineRule="exact"/>
              <w:jc w:val="center"/>
              <w:rPr>
                <w:rFonts w:hint="eastAsia" w:ascii="方正仿宋_GBK" w:hAnsi="方正仿宋_GBK" w:eastAsia="方正仿宋_GBK" w:cs="方正仿宋_GBK"/>
                <w:sz w:val="24"/>
              </w:rPr>
            </w:pPr>
          </w:p>
        </w:tc>
        <w:tc>
          <w:tcPr>
            <w:tcW w:w="1129" w:type="pct"/>
            <w:gridSpan w:val="2"/>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流动资金</w:t>
            </w:r>
          </w:p>
        </w:tc>
        <w:tc>
          <w:tcPr>
            <w:tcW w:w="1411" w:type="pct"/>
            <w:gridSpan w:val="2"/>
            <w:vAlign w:val="center"/>
          </w:tcPr>
          <w:p>
            <w:pPr>
              <w:spacing w:line="400" w:lineRule="exact"/>
              <w:jc w:val="center"/>
              <w:rPr>
                <w:rFonts w:hint="eastAsia" w:ascii="方正仿宋_GBK" w:hAnsi="方正仿宋_GBK" w:eastAsia="方正仿宋_GBK" w:cs="方正仿宋_GBK"/>
                <w:sz w:val="24"/>
              </w:rPr>
            </w:pPr>
          </w:p>
        </w:tc>
        <w:tc>
          <w:tcPr>
            <w:tcW w:w="724" w:type="pct"/>
            <w:vMerge w:val="continue"/>
          </w:tcPr>
          <w:p>
            <w:pPr>
              <w:spacing w:line="400" w:lineRule="exact"/>
              <w:jc w:val="right"/>
              <w:rPr>
                <w:rFonts w:hint="eastAsia" w:ascii="方正仿宋_GBK" w:hAnsi="方正仿宋_GBK" w:eastAsia="方正仿宋_GBK" w:cs="方正仿宋_GBK"/>
                <w:sz w:val="24"/>
              </w:rPr>
            </w:pPr>
          </w:p>
        </w:tc>
        <w:tc>
          <w:tcPr>
            <w:tcW w:w="1423" w:type="pct"/>
            <w:vMerge w:val="continue"/>
          </w:tcPr>
          <w:p>
            <w:pPr>
              <w:spacing w:line="40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exact"/>
        </w:trPr>
        <w:tc>
          <w:tcPr>
            <w:tcW w:w="312" w:type="pct"/>
            <w:vMerge w:val="continue"/>
            <w:tcBorders>
              <w:left w:val="single" w:color="auto" w:sz="4" w:space="0"/>
            </w:tcBorders>
            <w:vAlign w:val="center"/>
          </w:tcPr>
          <w:p>
            <w:pPr>
              <w:spacing w:line="400" w:lineRule="exact"/>
              <w:jc w:val="center"/>
              <w:rPr>
                <w:rFonts w:hint="eastAsia" w:ascii="方正仿宋_GBK" w:hAnsi="方正仿宋_GBK" w:eastAsia="方正仿宋_GBK" w:cs="方正仿宋_GBK"/>
                <w:sz w:val="24"/>
              </w:rPr>
            </w:pPr>
          </w:p>
        </w:tc>
        <w:tc>
          <w:tcPr>
            <w:tcW w:w="1129" w:type="pct"/>
            <w:gridSpan w:val="2"/>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固定资产原值</w:t>
            </w:r>
          </w:p>
        </w:tc>
        <w:tc>
          <w:tcPr>
            <w:tcW w:w="1411" w:type="pct"/>
            <w:gridSpan w:val="2"/>
            <w:vAlign w:val="center"/>
          </w:tcPr>
          <w:p>
            <w:pPr>
              <w:spacing w:line="400" w:lineRule="exact"/>
              <w:jc w:val="center"/>
              <w:rPr>
                <w:rFonts w:hint="eastAsia" w:ascii="方正仿宋_GBK" w:hAnsi="方正仿宋_GBK" w:eastAsia="方正仿宋_GBK" w:cs="方正仿宋_GBK"/>
                <w:sz w:val="24"/>
              </w:rPr>
            </w:pPr>
          </w:p>
        </w:tc>
        <w:tc>
          <w:tcPr>
            <w:tcW w:w="724" w:type="pct"/>
            <w:vMerge w:val="continue"/>
          </w:tcPr>
          <w:p>
            <w:pPr>
              <w:spacing w:line="400" w:lineRule="exact"/>
              <w:jc w:val="right"/>
              <w:rPr>
                <w:rFonts w:hint="eastAsia" w:ascii="方正仿宋_GBK" w:hAnsi="方正仿宋_GBK" w:eastAsia="方正仿宋_GBK" w:cs="方正仿宋_GBK"/>
                <w:sz w:val="24"/>
              </w:rPr>
            </w:pPr>
          </w:p>
        </w:tc>
        <w:tc>
          <w:tcPr>
            <w:tcW w:w="1423" w:type="pct"/>
            <w:vMerge w:val="continue"/>
          </w:tcPr>
          <w:p>
            <w:pPr>
              <w:spacing w:line="40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exact"/>
        </w:trPr>
        <w:tc>
          <w:tcPr>
            <w:tcW w:w="312" w:type="pct"/>
            <w:vMerge w:val="continue"/>
            <w:tcBorders>
              <w:left w:val="single" w:color="auto" w:sz="4" w:space="0"/>
            </w:tcBorders>
            <w:vAlign w:val="center"/>
          </w:tcPr>
          <w:p>
            <w:pPr>
              <w:spacing w:line="400" w:lineRule="exact"/>
              <w:jc w:val="center"/>
              <w:rPr>
                <w:rFonts w:hint="eastAsia" w:ascii="方正仿宋_GBK" w:hAnsi="方正仿宋_GBK" w:eastAsia="方正仿宋_GBK" w:cs="方正仿宋_GBK"/>
                <w:sz w:val="24"/>
              </w:rPr>
            </w:pPr>
          </w:p>
        </w:tc>
        <w:tc>
          <w:tcPr>
            <w:tcW w:w="1129" w:type="pct"/>
            <w:gridSpan w:val="2"/>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固定资产净值</w:t>
            </w:r>
          </w:p>
        </w:tc>
        <w:tc>
          <w:tcPr>
            <w:tcW w:w="1411" w:type="pct"/>
            <w:gridSpan w:val="2"/>
            <w:vAlign w:val="center"/>
          </w:tcPr>
          <w:p>
            <w:pPr>
              <w:spacing w:line="400" w:lineRule="exact"/>
              <w:jc w:val="center"/>
              <w:rPr>
                <w:rFonts w:hint="eastAsia" w:ascii="方正仿宋_GBK" w:hAnsi="方正仿宋_GBK" w:eastAsia="方正仿宋_GBK" w:cs="方正仿宋_GBK"/>
                <w:sz w:val="24"/>
              </w:rPr>
            </w:pPr>
          </w:p>
        </w:tc>
        <w:tc>
          <w:tcPr>
            <w:tcW w:w="724" w:type="pct"/>
            <w:vMerge w:val="continue"/>
          </w:tcPr>
          <w:p>
            <w:pPr>
              <w:spacing w:line="400" w:lineRule="exact"/>
              <w:jc w:val="right"/>
              <w:rPr>
                <w:rFonts w:hint="eastAsia" w:ascii="方正仿宋_GBK" w:hAnsi="方正仿宋_GBK" w:eastAsia="方正仿宋_GBK" w:cs="方正仿宋_GBK"/>
                <w:sz w:val="24"/>
              </w:rPr>
            </w:pPr>
          </w:p>
        </w:tc>
        <w:tc>
          <w:tcPr>
            <w:tcW w:w="1423" w:type="pct"/>
            <w:vMerge w:val="continue"/>
          </w:tcPr>
          <w:p>
            <w:pPr>
              <w:spacing w:line="40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exact"/>
        </w:trPr>
        <w:tc>
          <w:tcPr>
            <w:tcW w:w="312" w:type="pct"/>
            <w:vMerge w:val="continue"/>
            <w:tcBorders>
              <w:left w:val="single" w:color="auto" w:sz="4" w:space="0"/>
            </w:tcBorders>
            <w:vAlign w:val="center"/>
          </w:tcPr>
          <w:p>
            <w:pPr>
              <w:spacing w:line="400" w:lineRule="exact"/>
              <w:jc w:val="center"/>
              <w:rPr>
                <w:rFonts w:hint="eastAsia" w:ascii="方正仿宋_GBK" w:hAnsi="方正仿宋_GBK" w:eastAsia="方正仿宋_GBK" w:cs="方正仿宋_GBK"/>
                <w:sz w:val="24"/>
              </w:rPr>
            </w:pPr>
          </w:p>
        </w:tc>
        <w:tc>
          <w:tcPr>
            <w:tcW w:w="1129" w:type="pct"/>
            <w:gridSpan w:val="2"/>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工程技术人员</w:t>
            </w:r>
          </w:p>
        </w:tc>
        <w:tc>
          <w:tcPr>
            <w:tcW w:w="1411" w:type="pct"/>
            <w:gridSpan w:val="2"/>
            <w:vAlign w:val="center"/>
          </w:tcPr>
          <w:p>
            <w:pPr>
              <w:spacing w:line="400" w:lineRule="exact"/>
              <w:jc w:val="center"/>
              <w:rPr>
                <w:rFonts w:hint="eastAsia" w:ascii="方正仿宋_GBK" w:hAnsi="方正仿宋_GBK" w:eastAsia="方正仿宋_GBK" w:cs="方正仿宋_GBK"/>
                <w:sz w:val="24"/>
              </w:rPr>
            </w:pPr>
          </w:p>
        </w:tc>
        <w:tc>
          <w:tcPr>
            <w:tcW w:w="724" w:type="pct"/>
            <w:vMerge w:val="continue"/>
          </w:tcPr>
          <w:p>
            <w:pPr>
              <w:spacing w:line="400" w:lineRule="exact"/>
              <w:jc w:val="right"/>
              <w:rPr>
                <w:rFonts w:hint="eastAsia" w:ascii="方正仿宋_GBK" w:hAnsi="方正仿宋_GBK" w:eastAsia="方正仿宋_GBK" w:cs="方正仿宋_GBK"/>
                <w:sz w:val="24"/>
              </w:rPr>
            </w:pPr>
          </w:p>
        </w:tc>
        <w:tc>
          <w:tcPr>
            <w:tcW w:w="1423" w:type="pct"/>
            <w:vMerge w:val="continue"/>
          </w:tcPr>
          <w:p>
            <w:pPr>
              <w:spacing w:line="40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exact"/>
        </w:trPr>
        <w:tc>
          <w:tcPr>
            <w:tcW w:w="312" w:type="pct"/>
            <w:vMerge w:val="continue"/>
            <w:tcBorders>
              <w:left w:val="single" w:color="auto" w:sz="4" w:space="0"/>
            </w:tcBorders>
            <w:vAlign w:val="center"/>
          </w:tcPr>
          <w:p>
            <w:pPr>
              <w:spacing w:line="400" w:lineRule="exact"/>
              <w:jc w:val="center"/>
              <w:rPr>
                <w:rFonts w:hint="eastAsia" w:ascii="方正仿宋_GBK" w:hAnsi="方正仿宋_GBK" w:eastAsia="方正仿宋_GBK" w:cs="方正仿宋_GBK"/>
                <w:sz w:val="24"/>
              </w:rPr>
            </w:pPr>
          </w:p>
        </w:tc>
        <w:tc>
          <w:tcPr>
            <w:tcW w:w="1129" w:type="pct"/>
            <w:gridSpan w:val="2"/>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售后服务人员</w:t>
            </w:r>
          </w:p>
        </w:tc>
        <w:tc>
          <w:tcPr>
            <w:tcW w:w="1411" w:type="pct"/>
            <w:gridSpan w:val="2"/>
            <w:vAlign w:val="center"/>
          </w:tcPr>
          <w:p>
            <w:pPr>
              <w:spacing w:line="400" w:lineRule="exact"/>
              <w:jc w:val="center"/>
              <w:rPr>
                <w:rFonts w:hint="eastAsia" w:ascii="方正仿宋_GBK" w:hAnsi="方正仿宋_GBK" w:eastAsia="方正仿宋_GBK" w:cs="方正仿宋_GBK"/>
                <w:sz w:val="24"/>
              </w:rPr>
            </w:pPr>
          </w:p>
        </w:tc>
        <w:tc>
          <w:tcPr>
            <w:tcW w:w="724" w:type="pct"/>
            <w:vMerge w:val="continue"/>
          </w:tcPr>
          <w:p>
            <w:pPr>
              <w:spacing w:line="400" w:lineRule="exact"/>
              <w:jc w:val="right"/>
              <w:rPr>
                <w:rFonts w:hint="eastAsia" w:ascii="方正仿宋_GBK" w:hAnsi="方正仿宋_GBK" w:eastAsia="方正仿宋_GBK" w:cs="方正仿宋_GBK"/>
                <w:sz w:val="24"/>
              </w:rPr>
            </w:pPr>
          </w:p>
        </w:tc>
        <w:tc>
          <w:tcPr>
            <w:tcW w:w="1423" w:type="pct"/>
            <w:vMerge w:val="continue"/>
          </w:tcPr>
          <w:p>
            <w:pPr>
              <w:spacing w:line="40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exact"/>
        </w:trPr>
        <w:tc>
          <w:tcPr>
            <w:tcW w:w="312" w:type="pct"/>
            <w:vMerge w:val="restart"/>
            <w:tcBorders>
              <w:left w:val="single" w:color="auto" w:sz="4" w:space="0"/>
              <w:right w:val="single" w:color="auto" w:sz="4" w:space="0"/>
            </w:tcBorders>
          </w:tcPr>
          <w:p>
            <w:pPr>
              <w:spacing w:line="400" w:lineRule="exact"/>
              <w:rPr>
                <w:rFonts w:hint="eastAsia" w:ascii="方正仿宋_GBK" w:hAnsi="方正仿宋_GBK" w:eastAsia="方正仿宋_GBK" w:cs="方正仿宋_GBK"/>
                <w:sz w:val="24"/>
              </w:rPr>
            </w:pPr>
          </w:p>
          <w:p>
            <w:pPr>
              <w:spacing w:line="400" w:lineRule="exact"/>
              <w:rPr>
                <w:rFonts w:hint="eastAsia" w:ascii="方正仿宋_GBK" w:hAnsi="方正仿宋_GBK" w:eastAsia="方正仿宋_GBK" w:cs="方正仿宋_GBK"/>
                <w:sz w:val="24"/>
              </w:rPr>
            </w:pPr>
          </w:p>
          <w:p>
            <w:pPr>
              <w:spacing w:line="400" w:lineRule="exact"/>
              <w:rPr>
                <w:rFonts w:hint="eastAsia" w:ascii="方正仿宋_GBK" w:hAnsi="方正仿宋_GBK" w:eastAsia="方正仿宋_GBK" w:cs="方正仿宋_GBK"/>
                <w:sz w:val="24"/>
              </w:rPr>
            </w:pPr>
          </w:p>
          <w:p>
            <w:pPr>
              <w:spacing w:line="400" w:lineRule="exact"/>
              <w:rPr>
                <w:rFonts w:hint="eastAsia" w:ascii="方正仿宋_GBK" w:hAnsi="方正仿宋_GBK" w:eastAsia="方正仿宋_GBK" w:cs="方正仿宋_GBK"/>
                <w:sz w:val="24"/>
              </w:rPr>
            </w:pPr>
          </w:p>
          <w:p>
            <w:pPr>
              <w:spacing w:line="40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主要</w:t>
            </w:r>
          </w:p>
          <w:p>
            <w:pPr>
              <w:spacing w:line="40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指标</w:t>
            </w:r>
          </w:p>
        </w:tc>
        <w:tc>
          <w:tcPr>
            <w:tcW w:w="599" w:type="pct"/>
            <w:vMerge w:val="restart"/>
            <w:tcBorders>
              <w:left w:val="single" w:color="auto" w:sz="4" w:space="0"/>
            </w:tcBorders>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时间</w:t>
            </w:r>
          </w:p>
        </w:tc>
        <w:tc>
          <w:tcPr>
            <w:tcW w:w="894" w:type="pct"/>
            <w:gridSpan w:val="2"/>
            <w:vMerge w:val="restart"/>
            <w:tcBorders>
              <w:left w:val="nil"/>
            </w:tcBorders>
            <w:vAlign w:val="center"/>
          </w:tcPr>
          <w:p>
            <w:pPr>
              <w:spacing w:line="400" w:lineRule="exact"/>
              <w:jc w:val="center"/>
              <w:rPr>
                <w:rFonts w:hint="eastAsia" w:ascii="方正仿宋_GBK" w:hAnsi="方正仿宋_GBK" w:eastAsia="方正仿宋_GBK" w:cs="方正仿宋_GBK"/>
                <w:sz w:val="24"/>
              </w:rPr>
            </w:pPr>
          </w:p>
        </w:tc>
        <w:tc>
          <w:tcPr>
            <w:tcW w:w="1047" w:type="pct"/>
            <w:vMerge w:val="restart"/>
            <w:tcBorders>
              <w:left w:val="nil"/>
            </w:tcBorders>
            <w:vAlign w:val="center"/>
          </w:tcPr>
          <w:p>
            <w:pPr>
              <w:spacing w:line="400" w:lineRule="exact"/>
              <w:jc w:val="center"/>
              <w:rPr>
                <w:rFonts w:hint="eastAsia" w:ascii="方正仿宋_GBK" w:hAnsi="方正仿宋_GBK" w:eastAsia="方正仿宋_GBK" w:cs="方正仿宋_GBK"/>
                <w:sz w:val="24"/>
              </w:rPr>
            </w:pPr>
          </w:p>
        </w:tc>
        <w:tc>
          <w:tcPr>
            <w:tcW w:w="724" w:type="pct"/>
            <w:vMerge w:val="continue"/>
          </w:tcPr>
          <w:p>
            <w:pPr>
              <w:spacing w:line="400" w:lineRule="exact"/>
              <w:rPr>
                <w:rFonts w:hint="eastAsia" w:ascii="方正仿宋_GBK" w:hAnsi="方正仿宋_GBK" w:eastAsia="方正仿宋_GBK" w:cs="方正仿宋_GBK"/>
                <w:sz w:val="24"/>
              </w:rPr>
            </w:pPr>
          </w:p>
        </w:tc>
        <w:tc>
          <w:tcPr>
            <w:tcW w:w="1423" w:type="pct"/>
            <w:vMerge w:val="continue"/>
          </w:tcPr>
          <w:p>
            <w:pPr>
              <w:spacing w:line="40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exact"/>
        </w:trPr>
        <w:tc>
          <w:tcPr>
            <w:tcW w:w="312" w:type="pct"/>
            <w:vMerge w:val="continue"/>
            <w:tcBorders>
              <w:left w:val="single" w:color="auto" w:sz="4" w:space="0"/>
              <w:right w:val="single" w:color="auto" w:sz="4" w:space="0"/>
            </w:tcBorders>
            <w:vAlign w:val="center"/>
          </w:tcPr>
          <w:p>
            <w:pPr>
              <w:spacing w:line="400" w:lineRule="exact"/>
              <w:rPr>
                <w:rFonts w:hint="eastAsia" w:ascii="方正仿宋_GBK" w:hAnsi="方正仿宋_GBK" w:eastAsia="方正仿宋_GBK" w:cs="方正仿宋_GBK"/>
                <w:sz w:val="24"/>
              </w:rPr>
            </w:pPr>
          </w:p>
        </w:tc>
        <w:tc>
          <w:tcPr>
            <w:tcW w:w="599" w:type="pct"/>
            <w:vMerge w:val="continue"/>
            <w:tcBorders>
              <w:left w:val="single" w:color="auto" w:sz="4" w:space="0"/>
            </w:tcBorders>
            <w:vAlign w:val="center"/>
          </w:tcPr>
          <w:p>
            <w:pPr>
              <w:spacing w:line="400" w:lineRule="exact"/>
              <w:jc w:val="center"/>
              <w:rPr>
                <w:rFonts w:hint="eastAsia" w:ascii="方正仿宋_GBK" w:hAnsi="方正仿宋_GBK" w:eastAsia="方正仿宋_GBK" w:cs="方正仿宋_GBK"/>
                <w:sz w:val="24"/>
              </w:rPr>
            </w:pPr>
          </w:p>
        </w:tc>
        <w:tc>
          <w:tcPr>
            <w:tcW w:w="894" w:type="pct"/>
            <w:gridSpan w:val="2"/>
            <w:vMerge w:val="continue"/>
          </w:tcPr>
          <w:p>
            <w:pPr>
              <w:spacing w:line="400" w:lineRule="exact"/>
              <w:jc w:val="center"/>
              <w:rPr>
                <w:rFonts w:hint="eastAsia" w:ascii="方正仿宋_GBK" w:hAnsi="方正仿宋_GBK" w:eastAsia="方正仿宋_GBK" w:cs="方正仿宋_GBK"/>
                <w:sz w:val="24"/>
              </w:rPr>
            </w:pPr>
          </w:p>
        </w:tc>
        <w:tc>
          <w:tcPr>
            <w:tcW w:w="1047" w:type="pct"/>
            <w:vMerge w:val="continue"/>
          </w:tcPr>
          <w:p>
            <w:pPr>
              <w:spacing w:line="400" w:lineRule="exact"/>
              <w:jc w:val="center"/>
              <w:rPr>
                <w:rFonts w:hint="eastAsia" w:ascii="方正仿宋_GBK" w:hAnsi="方正仿宋_GBK" w:eastAsia="方正仿宋_GBK" w:cs="方正仿宋_GBK"/>
                <w:sz w:val="24"/>
              </w:rPr>
            </w:pPr>
          </w:p>
        </w:tc>
        <w:tc>
          <w:tcPr>
            <w:tcW w:w="724" w:type="pct"/>
            <w:vMerge w:val="continue"/>
            <w:vAlign w:val="bottom"/>
          </w:tcPr>
          <w:p>
            <w:pPr>
              <w:spacing w:line="400" w:lineRule="exact"/>
              <w:jc w:val="right"/>
              <w:rPr>
                <w:rFonts w:hint="eastAsia" w:ascii="方正仿宋_GBK" w:hAnsi="方正仿宋_GBK" w:eastAsia="方正仿宋_GBK" w:cs="方正仿宋_GBK"/>
                <w:sz w:val="24"/>
              </w:rPr>
            </w:pPr>
          </w:p>
        </w:tc>
        <w:tc>
          <w:tcPr>
            <w:tcW w:w="1423" w:type="pct"/>
            <w:vMerge w:val="continue"/>
          </w:tcPr>
          <w:p>
            <w:pPr>
              <w:spacing w:line="40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exact"/>
        </w:trPr>
        <w:tc>
          <w:tcPr>
            <w:tcW w:w="312" w:type="pct"/>
            <w:vMerge w:val="continue"/>
            <w:tcBorders>
              <w:left w:val="single" w:color="auto" w:sz="4" w:space="0"/>
              <w:right w:val="single" w:color="auto" w:sz="4" w:space="0"/>
            </w:tcBorders>
          </w:tcPr>
          <w:p>
            <w:pPr>
              <w:spacing w:line="400" w:lineRule="exact"/>
              <w:rPr>
                <w:rFonts w:hint="eastAsia" w:ascii="方正仿宋_GBK" w:hAnsi="方正仿宋_GBK" w:eastAsia="方正仿宋_GBK" w:cs="方正仿宋_GBK"/>
                <w:sz w:val="24"/>
              </w:rPr>
            </w:pPr>
          </w:p>
        </w:tc>
        <w:tc>
          <w:tcPr>
            <w:tcW w:w="599" w:type="pct"/>
            <w:tcBorders>
              <w:left w:val="single" w:color="auto" w:sz="4" w:space="0"/>
            </w:tcBorders>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总收入</w:t>
            </w:r>
          </w:p>
        </w:tc>
        <w:tc>
          <w:tcPr>
            <w:tcW w:w="894" w:type="pct"/>
            <w:gridSpan w:val="2"/>
          </w:tcPr>
          <w:p>
            <w:pPr>
              <w:spacing w:line="400" w:lineRule="exact"/>
              <w:rPr>
                <w:rFonts w:hint="eastAsia" w:ascii="方正仿宋_GBK" w:hAnsi="方正仿宋_GBK" w:eastAsia="方正仿宋_GBK" w:cs="方正仿宋_GBK"/>
                <w:sz w:val="24"/>
              </w:rPr>
            </w:pPr>
          </w:p>
        </w:tc>
        <w:tc>
          <w:tcPr>
            <w:tcW w:w="1047" w:type="pct"/>
          </w:tcPr>
          <w:p>
            <w:pPr>
              <w:spacing w:line="400" w:lineRule="exact"/>
              <w:rPr>
                <w:rFonts w:hint="eastAsia" w:ascii="方正仿宋_GBK" w:hAnsi="方正仿宋_GBK" w:eastAsia="方正仿宋_GBK" w:cs="方正仿宋_GBK"/>
                <w:sz w:val="24"/>
              </w:rPr>
            </w:pPr>
          </w:p>
        </w:tc>
        <w:tc>
          <w:tcPr>
            <w:tcW w:w="724" w:type="pct"/>
            <w:vMerge w:val="continue"/>
          </w:tcPr>
          <w:p>
            <w:pPr>
              <w:spacing w:line="400" w:lineRule="exact"/>
              <w:rPr>
                <w:rFonts w:hint="eastAsia" w:ascii="方正仿宋_GBK" w:hAnsi="方正仿宋_GBK" w:eastAsia="方正仿宋_GBK" w:cs="方正仿宋_GBK"/>
                <w:sz w:val="24"/>
              </w:rPr>
            </w:pPr>
          </w:p>
        </w:tc>
        <w:tc>
          <w:tcPr>
            <w:tcW w:w="1423" w:type="pct"/>
            <w:vMerge w:val="continue"/>
          </w:tcPr>
          <w:p>
            <w:pPr>
              <w:spacing w:line="40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exact"/>
        </w:trPr>
        <w:tc>
          <w:tcPr>
            <w:tcW w:w="312" w:type="pct"/>
            <w:vMerge w:val="continue"/>
            <w:tcBorders>
              <w:left w:val="single" w:color="auto" w:sz="4" w:space="0"/>
              <w:right w:val="single" w:color="auto" w:sz="4" w:space="0"/>
            </w:tcBorders>
          </w:tcPr>
          <w:p>
            <w:pPr>
              <w:spacing w:line="400" w:lineRule="exact"/>
              <w:rPr>
                <w:rFonts w:hint="eastAsia" w:ascii="方正仿宋_GBK" w:hAnsi="方正仿宋_GBK" w:eastAsia="方正仿宋_GBK" w:cs="方正仿宋_GBK"/>
                <w:sz w:val="24"/>
              </w:rPr>
            </w:pPr>
          </w:p>
        </w:tc>
        <w:tc>
          <w:tcPr>
            <w:tcW w:w="599" w:type="pct"/>
            <w:tcBorders>
              <w:left w:val="single" w:color="auto" w:sz="4" w:space="0"/>
            </w:tcBorders>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利税</w:t>
            </w:r>
          </w:p>
        </w:tc>
        <w:tc>
          <w:tcPr>
            <w:tcW w:w="894" w:type="pct"/>
            <w:gridSpan w:val="2"/>
          </w:tcPr>
          <w:p>
            <w:pPr>
              <w:spacing w:line="400" w:lineRule="exact"/>
              <w:rPr>
                <w:rFonts w:hint="eastAsia" w:ascii="方正仿宋_GBK" w:hAnsi="方正仿宋_GBK" w:eastAsia="方正仿宋_GBK" w:cs="方正仿宋_GBK"/>
                <w:sz w:val="24"/>
              </w:rPr>
            </w:pPr>
          </w:p>
        </w:tc>
        <w:tc>
          <w:tcPr>
            <w:tcW w:w="1047" w:type="pct"/>
          </w:tcPr>
          <w:p>
            <w:pPr>
              <w:spacing w:line="400" w:lineRule="exact"/>
              <w:rPr>
                <w:rFonts w:hint="eastAsia" w:ascii="方正仿宋_GBK" w:hAnsi="方正仿宋_GBK" w:eastAsia="方正仿宋_GBK" w:cs="方正仿宋_GBK"/>
                <w:sz w:val="24"/>
              </w:rPr>
            </w:pPr>
          </w:p>
        </w:tc>
        <w:tc>
          <w:tcPr>
            <w:tcW w:w="724" w:type="pct"/>
            <w:vMerge w:val="continue"/>
          </w:tcPr>
          <w:p>
            <w:pPr>
              <w:spacing w:line="400" w:lineRule="exact"/>
              <w:rPr>
                <w:rFonts w:hint="eastAsia" w:ascii="方正仿宋_GBK" w:hAnsi="方正仿宋_GBK" w:eastAsia="方正仿宋_GBK" w:cs="方正仿宋_GBK"/>
                <w:sz w:val="24"/>
              </w:rPr>
            </w:pPr>
          </w:p>
        </w:tc>
        <w:tc>
          <w:tcPr>
            <w:tcW w:w="1423" w:type="pct"/>
            <w:vMerge w:val="continue"/>
          </w:tcPr>
          <w:p>
            <w:pPr>
              <w:spacing w:line="40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2" w:hRule="atLeast"/>
        </w:trPr>
        <w:tc>
          <w:tcPr>
            <w:tcW w:w="312" w:type="pct"/>
            <w:vMerge w:val="continue"/>
            <w:tcBorders>
              <w:left w:val="single" w:color="auto" w:sz="4" w:space="0"/>
              <w:right w:val="single" w:color="auto" w:sz="4" w:space="0"/>
            </w:tcBorders>
          </w:tcPr>
          <w:p>
            <w:pPr>
              <w:spacing w:line="400" w:lineRule="exact"/>
              <w:rPr>
                <w:rFonts w:hint="eastAsia" w:ascii="方正仿宋_GBK" w:hAnsi="方正仿宋_GBK" w:eastAsia="方正仿宋_GBK" w:cs="方正仿宋_GBK"/>
                <w:sz w:val="24"/>
              </w:rPr>
            </w:pPr>
          </w:p>
        </w:tc>
        <w:tc>
          <w:tcPr>
            <w:tcW w:w="599" w:type="pct"/>
            <w:tcBorders>
              <w:left w:val="single" w:color="auto" w:sz="4" w:space="0"/>
            </w:tcBorders>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主</w:t>
            </w: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要</w:t>
            </w: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项</w:t>
            </w: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目</w:t>
            </w: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业</w:t>
            </w: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绩</w:t>
            </w:r>
          </w:p>
        </w:tc>
        <w:tc>
          <w:tcPr>
            <w:tcW w:w="4088" w:type="pct"/>
            <w:gridSpan w:val="5"/>
          </w:tcPr>
          <w:p>
            <w:pPr>
              <w:spacing w:line="400" w:lineRule="exact"/>
              <w:rPr>
                <w:rFonts w:hint="eastAsia" w:ascii="方正仿宋_GBK" w:hAnsi="方正仿宋_GBK" w:eastAsia="方正仿宋_GBK" w:cs="方正仿宋_GBK"/>
                <w:sz w:val="24"/>
              </w:rPr>
            </w:pPr>
          </w:p>
        </w:tc>
      </w:tr>
    </w:tbl>
    <w:p>
      <w:pPr>
        <w:spacing w:line="360" w:lineRule="auto"/>
        <w:rPr>
          <w:rFonts w:hint="eastAsia" w:ascii="方正仿宋_GBK" w:hAnsi="方正仿宋_GBK" w:eastAsia="方正仿宋_GBK" w:cs="方正仿宋_GBK"/>
          <w:sz w:val="24"/>
        </w:rPr>
      </w:pPr>
    </w:p>
    <w:p>
      <w:pPr>
        <w:spacing w:line="400" w:lineRule="exact"/>
        <w:ind w:firstLine="482" w:firstLineChars="200"/>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w:t>
      </w:r>
    </w:p>
    <w:p>
      <w:pPr>
        <w:spacing w:line="400" w:lineRule="exact"/>
        <w:ind w:firstLine="482" w:firstLineChars="200"/>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（N）……</w:t>
      </w:r>
    </w:p>
    <w:p>
      <w:pPr>
        <w:spacing w:line="400" w:lineRule="exact"/>
        <w:ind w:firstLine="480" w:firstLineChars="200"/>
        <w:rPr>
          <w:rFonts w:hint="eastAsia" w:ascii="方正仿宋_GBK" w:hAnsi="方正仿宋_GBK" w:eastAsia="方正仿宋_GBK" w:cs="方正仿宋_GBK"/>
          <w:bCs/>
          <w:sz w:val="24"/>
        </w:rPr>
      </w:pPr>
      <w:r>
        <w:rPr>
          <w:rFonts w:hint="eastAsia" w:ascii="方正仿宋_GBK" w:hAnsi="方正仿宋_GBK" w:eastAsia="方正仿宋_GBK" w:cs="方正仿宋_GBK"/>
          <w:bCs/>
          <w:sz w:val="24"/>
        </w:rPr>
        <w:t>__________________</w:t>
      </w:r>
    </w:p>
    <w:p>
      <w:pPr>
        <w:spacing w:line="400" w:lineRule="exact"/>
        <w:ind w:firstLine="482" w:firstLineChars="200"/>
        <w:rPr>
          <w:rFonts w:hint="eastAsia" w:ascii="方正仿宋_GBK" w:hAnsi="方正仿宋_GBK" w:eastAsia="方正仿宋_GBK" w:cs="方正仿宋_GBK"/>
          <w:b/>
          <w:sz w:val="24"/>
        </w:rPr>
      </w:pPr>
    </w:p>
    <w:p>
      <w:pPr>
        <w:widowControl/>
        <w:spacing w:line="520" w:lineRule="exact"/>
        <w:jc w:val="left"/>
        <w:rPr>
          <w:rFonts w:hint="eastAsia" w:ascii="方正仿宋_GBK" w:hAnsi="方正仿宋_GBK" w:eastAsia="方正仿宋_GBK" w:cs="方正仿宋_GBK"/>
          <w:b/>
          <w:sz w:val="28"/>
          <w:szCs w:val="28"/>
        </w:rPr>
      </w:pPr>
    </w:p>
    <w:p>
      <w:pPr>
        <w:widowControl/>
        <w:jc w:val="left"/>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br w:type="page"/>
      </w:r>
    </w:p>
    <w:p>
      <w:pPr>
        <w:pStyle w:val="5"/>
        <w:numPr>
          <w:ilvl w:val="0"/>
          <w:numId w:val="7"/>
        </w:numPr>
        <w:jc w:val="center"/>
        <w:rPr>
          <w:rFonts w:hint="eastAsia" w:ascii="方正仿宋_GBK" w:hAnsi="方正仿宋_GBK" w:eastAsia="方正仿宋_GBK" w:cs="方正仿宋_GBK"/>
        </w:rPr>
      </w:pPr>
      <w:bookmarkStart w:id="320" w:name="_Toc5288"/>
      <w:bookmarkStart w:id="321" w:name="_Toc20644"/>
      <w:bookmarkStart w:id="322" w:name="_Toc63765813"/>
      <w:bookmarkStart w:id="323" w:name="_Toc24494"/>
      <w:r>
        <w:rPr>
          <w:rFonts w:hint="eastAsia" w:ascii="方正仿宋_GBK" w:hAnsi="方正仿宋_GBK" w:eastAsia="方正仿宋_GBK" w:cs="方正仿宋_GBK"/>
        </w:rPr>
        <w:t>报价部分</w:t>
      </w:r>
      <w:bookmarkEnd w:id="320"/>
      <w:bookmarkEnd w:id="321"/>
      <w:bookmarkEnd w:id="322"/>
      <w:bookmarkEnd w:id="323"/>
    </w:p>
    <w:p>
      <w:pPr>
        <w:spacing w:line="400" w:lineRule="exact"/>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一、报价一览表</w:t>
      </w:r>
    </w:p>
    <w:p>
      <w:pPr>
        <w:spacing w:line="48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采购项目名称：</w:t>
      </w:r>
      <w:bookmarkStart w:id="324" w:name="【Bobole_项目名称_4】"/>
      <w:r>
        <w:rPr>
          <w:rFonts w:hint="eastAsia" w:ascii="方正仿宋_GBK" w:hAnsi="方正仿宋_GBK" w:eastAsia="方正仿宋_GBK" w:cs="方正仿宋_GBK"/>
          <w:sz w:val="28"/>
          <w:szCs w:val="28"/>
        </w:rPr>
        <w:t>创文第三方指导咨询服务</w:t>
      </w:r>
      <w:bookmarkEnd w:id="324"/>
      <w:r>
        <w:rPr>
          <w:rFonts w:hint="eastAsia" w:ascii="方正仿宋_GBK" w:hAnsi="方正仿宋_GBK" w:eastAsia="方正仿宋_GBK" w:cs="方正仿宋_GBK"/>
          <w:sz w:val="28"/>
          <w:szCs w:val="28"/>
        </w:rPr>
        <w:t xml:space="preserve"> </w:t>
      </w:r>
    </w:p>
    <w:p>
      <w:pPr>
        <w:spacing w:line="48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采购文件编号： </w:t>
      </w:r>
    </w:p>
    <w:p>
      <w:pPr>
        <w:spacing w:line="480" w:lineRule="exact"/>
        <w:rPr>
          <w:rFonts w:hint="eastAsia" w:ascii="方正仿宋_GBK" w:hAnsi="方正仿宋_GBK" w:eastAsia="方正仿宋_GBK" w:cs="方正仿宋_GBK"/>
          <w:sz w:val="28"/>
          <w:szCs w:val="28"/>
        </w:rPr>
      </w:pPr>
      <w:bookmarkStart w:id="325" w:name="【bobole_开标一览表表格】"/>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b w:val="0"/>
          <w:sz w:val="24"/>
          <w:szCs w:val="28"/>
        </w:rPr>
        <w:t xml:space="preserve"> </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3525"/>
        <w:gridCol w:w="1420"/>
        <w:gridCol w:w="1420"/>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shd w:val="clear" w:color="auto" w:fill="FFFFFF"/>
            <w:vAlign w:val="center"/>
          </w:tcPr>
          <w:p>
            <w:pPr>
              <w:spacing w:line="480" w:lineRule="exact"/>
              <w:jc w:val="center"/>
              <w:rPr>
                <w:rFonts w:hint="eastAsia" w:ascii="方正仿宋_GBK" w:hAnsi="方正仿宋_GBK" w:eastAsia="方正仿宋_GBK" w:cs="方正仿宋_GBK"/>
                <w:b/>
                <w:sz w:val="24"/>
                <w:szCs w:val="28"/>
              </w:rPr>
            </w:pPr>
            <w:r>
              <w:rPr>
                <w:rFonts w:hint="eastAsia" w:ascii="方正仿宋_GBK" w:hAnsi="方正仿宋_GBK" w:eastAsia="方正仿宋_GBK" w:cs="方正仿宋_GBK"/>
                <w:b/>
                <w:sz w:val="24"/>
                <w:szCs w:val="28"/>
              </w:rPr>
              <w:t>序号</w:t>
            </w:r>
          </w:p>
        </w:tc>
        <w:tc>
          <w:tcPr>
            <w:tcW w:w="2068" w:type="pct"/>
            <w:shd w:val="clear" w:color="auto" w:fill="FFFFFF"/>
            <w:vAlign w:val="center"/>
          </w:tcPr>
          <w:p>
            <w:pPr>
              <w:spacing w:line="480" w:lineRule="exact"/>
              <w:jc w:val="center"/>
              <w:rPr>
                <w:rFonts w:hint="eastAsia" w:ascii="方正仿宋_GBK" w:hAnsi="方正仿宋_GBK" w:eastAsia="方正仿宋_GBK" w:cs="方正仿宋_GBK"/>
                <w:b/>
                <w:sz w:val="24"/>
                <w:szCs w:val="28"/>
              </w:rPr>
            </w:pPr>
            <w:r>
              <w:rPr>
                <w:rFonts w:hint="eastAsia" w:ascii="方正仿宋_GBK" w:hAnsi="方正仿宋_GBK" w:eastAsia="方正仿宋_GBK" w:cs="方正仿宋_GBK"/>
                <w:b/>
                <w:sz w:val="24"/>
                <w:szCs w:val="28"/>
              </w:rPr>
              <w:t>采购内容</w:t>
            </w:r>
          </w:p>
        </w:tc>
        <w:tc>
          <w:tcPr>
            <w:tcW w:w="833" w:type="pct"/>
            <w:shd w:val="clear" w:color="auto" w:fill="FFFFFF"/>
            <w:vAlign w:val="center"/>
          </w:tcPr>
          <w:p>
            <w:pPr>
              <w:spacing w:line="480" w:lineRule="exact"/>
              <w:jc w:val="center"/>
              <w:rPr>
                <w:rFonts w:hint="eastAsia" w:ascii="方正仿宋_GBK" w:hAnsi="方正仿宋_GBK" w:eastAsia="方正仿宋_GBK" w:cs="方正仿宋_GBK"/>
                <w:b/>
                <w:sz w:val="24"/>
                <w:szCs w:val="28"/>
              </w:rPr>
            </w:pPr>
            <w:r>
              <w:rPr>
                <w:rFonts w:hint="eastAsia" w:ascii="方正仿宋_GBK" w:hAnsi="方正仿宋_GBK" w:eastAsia="方正仿宋_GBK" w:cs="方正仿宋_GBK"/>
                <w:b/>
                <w:sz w:val="24"/>
                <w:szCs w:val="28"/>
              </w:rPr>
              <w:t>数量</w:t>
            </w:r>
          </w:p>
        </w:tc>
        <w:tc>
          <w:tcPr>
            <w:tcW w:w="833" w:type="pct"/>
            <w:shd w:val="clear" w:color="auto" w:fill="FFFFFF"/>
            <w:vAlign w:val="center"/>
          </w:tcPr>
          <w:p>
            <w:pPr>
              <w:spacing w:line="480" w:lineRule="exact"/>
              <w:jc w:val="center"/>
              <w:rPr>
                <w:rFonts w:hint="eastAsia" w:ascii="方正仿宋_GBK" w:hAnsi="方正仿宋_GBK" w:eastAsia="方正仿宋_GBK" w:cs="方正仿宋_GBK"/>
                <w:b/>
                <w:sz w:val="24"/>
                <w:szCs w:val="28"/>
              </w:rPr>
            </w:pPr>
            <w:r>
              <w:rPr>
                <w:rFonts w:hint="eastAsia" w:ascii="方正仿宋_GBK" w:hAnsi="方正仿宋_GBK" w:eastAsia="方正仿宋_GBK" w:cs="方正仿宋_GBK"/>
                <w:b/>
                <w:sz w:val="24"/>
                <w:szCs w:val="28"/>
              </w:rPr>
              <w:t>报价</w:t>
            </w:r>
          </w:p>
        </w:tc>
        <w:tc>
          <w:tcPr>
            <w:tcW w:w="833" w:type="pct"/>
            <w:shd w:val="clear" w:color="auto" w:fill="FFFFFF"/>
            <w:vAlign w:val="center"/>
          </w:tcPr>
          <w:p>
            <w:pPr>
              <w:spacing w:line="480" w:lineRule="exact"/>
              <w:jc w:val="center"/>
              <w:rPr>
                <w:rFonts w:hint="eastAsia" w:ascii="方正仿宋_GBK" w:hAnsi="方正仿宋_GBK" w:eastAsia="方正仿宋_GBK" w:cs="方正仿宋_GBK"/>
                <w:b w:val="0"/>
                <w:sz w:val="24"/>
                <w:szCs w:val="28"/>
              </w:rPr>
            </w:pPr>
            <w:r>
              <w:rPr>
                <w:rFonts w:hint="eastAsia" w:ascii="方正仿宋_GBK" w:hAnsi="方正仿宋_GBK" w:eastAsia="方正仿宋_GBK" w:cs="方正仿宋_GBK"/>
                <w:b/>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shd w:val="clear" w:color="auto" w:fill="FFFFFF"/>
            <w:vAlign w:val="center"/>
          </w:tcPr>
          <w:p>
            <w:pPr>
              <w:spacing w:line="480" w:lineRule="exact"/>
              <w:jc w:val="center"/>
              <w:rPr>
                <w:rFonts w:hint="eastAsia" w:ascii="方正仿宋_GBK" w:hAnsi="方正仿宋_GBK" w:eastAsia="方正仿宋_GBK" w:cs="方正仿宋_GBK"/>
                <w:b w:val="0"/>
                <w:sz w:val="24"/>
                <w:szCs w:val="28"/>
              </w:rPr>
            </w:pPr>
            <w:r>
              <w:rPr>
                <w:rFonts w:hint="eastAsia" w:ascii="方正仿宋_GBK" w:hAnsi="方正仿宋_GBK" w:eastAsia="方正仿宋_GBK" w:cs="方正仿宋_GBK"/>
                <w:b w:val="0"/>
                <w:sz w:val="24"/>
                <w:szCs w:val="28"/>
              </w:rPr>
              <w:t>1</w:t>
            </w:r>
          </w:p>
        </w:tc>
        <w:tc>
          <w:tcPr>
            <w:tcW w:w="2068" w:type="pct"/>
            <w:shd w:val="clear" w:color="auto" w:fill="FFFFFF"/>
            <w:vAlign w:val="center"/>
          </w:tcPr>
          <w:p>
            <w:pPr>
              <w:spacing w:line="480" w:lineRule="exact"/>
              <w:jc w:val="center"/>
              <w:rPr>
                <w:rFonts w:hint="eastAsia" w:ascii="方正仿宋_GBK" w:hAnsi="方正仿宋_GBK" w:eastAsia="方正仿宋_GBK" w:cs="方正仿宋_GBK"/>
                <w:b w:val="0"/>
                <w:sz w:val="24"/>
                <w:szCs w:val="28"/>
              </w:rPr>
            </w:pPr>
            <w:r>
              <w:rPr>
                <w:rFonts w:hint="eastAsia" w:ascii="方正仿宋_GBK" w:hAnsi="方正仿宋_GBK" w:eastAsia="方正仿宋_GBK" w:cs="方正仿宋_GBK"/>
                <w:b w:val="0"/>
                <w:sz w:val="24"/>
                <w:szCs w:val="28"/>
              </w:rPr>
              <w:t>创文第三方指导咨询服务</w:t>
            </w:r>
          </w:p>
        </w:tc>
        <w:tc>
          <w:tcPr>
            <w:tcW w:w="833" w:type="pct"/>
            <w:shd w:val="clear" w:color="auto" w:fill="FFFFFF"/>
            <w:vAlign w:val="center"/>
          </w:tcPr>
          <w:p>
            <w:pPr>
              <w:spacing w:line="480" w:lineRule="exact"/>
              <w:jc w:val="center"/>
              <w:rPr>
                <w:rFonts w:hint="eastAsia" w:ascii="方正仿宋_GBK" w:hAnsi="方正仿宋_GBK" w:eastAsia="方正仿宋_GBK" w:cs="方正仿宋_GBK"/>
                <w:b w:val="0"/>
                <w:sz w:val="24"/>
                <w:szCs w:val="28"/>
              </w:rPr>
            </w:pPr>
            <w:r>
              <w:rPr>
                <w:rFonts w:hint="eastAsia" w:ascii="方正仿宋_GBK" w:hAnsi="方正仿宋_GBK" w:eastAsia="方正仿宋_GBK" w:cs="方正仿宋_GBK"/>
                <w:b w:val="0"/>
                <w:sz w:val="24"/>
                <w:szCs w:val="28"/>
              </w:rPr>
              <w:t>1项</w:t>
            </w:r>
          </w:p>
        </w:tc>
        <w:tc>
          <w:tcPr>
            <w:tcW w:w="833" w:type="pct"/>
            <w:shd w:val="clear" w:color="auto" w:fill="FFFFFF"/>
            <w:vAlign w:val="center"/>
          </w:tcPr>
          <w:p>
            <w:pPr>
              <w:spacing w:line="480" w:lineRule="exact"/>
              <w:jc w:val="center"/>
              <w:rPr>
                <w:rFonts w:hint="eastAsia" w:ascii="方正仿宋_GBK" w:hAnsi="方正仿宋_GBK" w:eastAsia="方正仿宋_GBK" w:cs="方正仿宋_GBK"/>
                <w:b w:val="0"/>
                <w:sz w:val="24"/>
                <w:szCs w:val="28"/>
              </w:rPr>
            </w:pPr>
          </w:p>
        </w:tc>
        <w:tc>
          <w:tcPr>
            <w:tcW w:w="833" w:type="pct"/>
            <w:shd w:val="clear" w:color="auto" w:fill="FFFFFF"/>
            <w:vAlign w:val="center"/>
          </w:tcPr>
          <w:p>
            <w:pPr>
              <w:spacing w:line="480" w:lineRule="exact"/>
              <w:jc w:val="center"/>
              <w:rPr>
                <w:rFonts w:hint="eastAsia" w:ascii="方正仿宋_GBK" w:hAnsi="方正仿宋_GBK" w:eastAsia="方正仿宋_GBK" w:cs="方正仿宋_GBK"/>
                <w:b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000" w:type="pct"/>
            <w:gridSpan w:val="5"/>
            <w:shd w:val="clear" w:color="auto" w:fill="FFFFFF"/>
            <w:vAlign w:val="center"/>
          </w:tcPr>
          <w:p>
            <w:pPr>
              <w:spacing w:line="480" w:lineRule="exact"/>
              <w:jc w:val="center"/>
              <w:rPr>
                <w:rFonts w:hint="eastAsia" w:ascii="方正仿宋_GBK" w:hAnsi="方正仿宋_GBK" w:eastAsia="方正仿宋_GBK" w:cs="方正仿宋_GBK"/>
                <w:b w:val="0"/>
                <w:sz w:val="24"/>
                <w:szCs w:val="28"/>
              </w:rPr>
            </w:pPr>
            <w:r>
              <w:rPr>
                <w:rFonts w:hint="eastAsia" w:ascii="方正仿宋_GBK" w:hAnsi="方正仿宋_GBK" w:eastAsia="方正仿宋_GBK" w:cs="方正仿宋_GBK"/>
                <w:b w:val="0"/>
                <w:sz w:val="24"/>
                <w:szCs w:val="28"/>
              </w:rPr>
              <w:t>供应商报价:_________ 元   (大写:_________ )</w:t>
            </w:r>
          </w:p>
        </w:tc>
      </w:tr>
      <w:bookmarkEnd w:id="325"/>
    </w:tbl>
    <w:p>
      <w:pPr>
        <w:rPr>
          <w:rFonts w:hint="eastAsia" w:ascii="方正仿宋_GBK" w:hAnsi="方正仿宋_GBK" w:eastAsia="方正仿宋_GBK" w:cs="方正仿宋_GBK"/>
        </w:rPr>
      </w:pPr>
    </w:p>
    <w:p>
      <w:pPr>
        <w:spacing w:line="480" w:lineRule="exact"/>
        <w:ind w:firstLine="560" w:firstLineChars="200"/>
        <w:rPr>
          <w:rFonts w:ascii="仿宋" w:hAnsi="仿宋" w:eastAsia="仿宋"/>
          <w:sz w:val="28"/>
          <w:szCs w:val="28"/>
        </w:rPr>
      </w:pPr>
      <w:r>
        <w:rPr>
          <w:rFonts w:hint="eastAsia" w:ascii="仿宋" w:eastAsia="仿宋"/>
          <w:sz w:val="28"/>
          <w:szCs w:val="28"/>
        </w:rPr>
        <w:t>注：报价应包含本采购文件所述的本项目所有费用。</w:t>
      </w:r>
    </w:p>
    <w:p>
      <w:pPr>
        <w:rPr>
          <w:rFonts w:hint="eastAsia" w:ascii="方正仿宋_GBK" w:hAnsi="方正仿宋_GBK" w:eastAsia="方正仿宋_GBK" w:cs="方正仿宋_GBK"/>
        </w:rPr>
      </w:pPr>
      <w:r>
        <w:rPr>
          <w:rFonts w:hint="eastAsia" w:ascii="方正仿宋_GBK" w:hAnsi="方正仿宋_GBK" w:eastAsia="方正仿宋_GBK" w:cs="方正仿宋_GBK"/>
        </w:rPr>
        <w:br w:type="page"/>
      </w:r>
      <w:r>
        <w:rPr>
          <w:rFonts w:hint="eastAsia" w:ascii="方正仿宋_GBK" w:hAnsi="方正仿宋_GBK" w:eastAsia="方正仿宋_GBK" w:cs="方正仿宋_GBK"/>
          <w:sz w:val="24"/>
        </w:rPr>
        <w:t xml:space="preserve"> </w:t>
      </w:r>
    </w:p>
    <w:p>
      <w:pPr>
        <w:pStyle w:val="5"/>
        <w:numPr>
          <w:ilvl w:val="0"/>
          <w:numId w:val="7"/>
        </w:numPr>
        <w:jc w:val="center"/>
        <w:rPr>
          <w:rFonts w:hint="eastAsia" w:ascii="方正仿宋_GBK" w:hAnsi="方正仿宋_GBK" w:eastAsia="方正仿宋_GBK" w:cs="方正仿宋_GBK"/>
        </w:rPr>
      </w:pPr>
      <w:bookmarkStart w:id="326" w:name="_Toc63765814"/>
      <w:bookmarkStart w:id="327" w:name="_Toc28885"/>
      <w:bookmarkStart w:id="328" w:name="_Toc26834"/>
      <w:bookmarkStart w:id="329" w:name="_Toc30978"/>
      <w:r>
        <w:rPr>
          <w:rFonts w:hint="eastAsia" w:ascii="方正仿宋_GBK" w:hAnsi="方正仿宋_GBK" w:eastAsia="方正仿宋_GBK" w:cs="方正仿宋_GBK"/>
        </w:rPr>
        <w:t>技术、服务响应部分</w:t>
      </w:r>
      <w:bookmarkEnd w:id="326"/>
      <w:bookmarkEnd w:id="327"/>
      <w:bookmarkEnd w:id="328"/>
      <w:bookmarkEnd w:id="329"/>
    </w:p>
    <w:p>
      <w:pPr>
        <w:spacing w:line="400" w:lineRule="exact"/>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一、技术、服务要求响应情况对照表</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3312"/>
        <w:gridCol w:w="3312"/>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pct"/>
            <w:vAlign w:val="center"/>
          </w:tcPr>
          <w:p>
            <w:pPr>
              <w:pStyle w:val="23"/>
              <w:spacing w:line="480" w:lineRule="auto"/>
              <w:jc w:val="center"/>
              <w:rPr>
                <w:rFonts w:hint="eastAsia" w:ascii="方正仿宋_GBK" w:hAnsi="方正仿宋_GBK" w:eastAsia="方正仿宋_GBK" w:cs="方正仿宋_GBK"/>
                <w:b/>
                <w:sz w:val="22"/>
                <w:szCs w:val="22"/>
              </w:rPr>
            </w:pPr>
            <w:r>
              <w:rPr>
                <w:rFonts w:hint="eastAsia" w:ascii="方正仿宋_GBK" w:hAnsi="方正仿宋_GBK" w:eastAsia="方正仿宋_GBK" w:cs="方正仿宋_GBK"/>
                <w:b/>
                <w:sz w:val="22"/>
                <w:szCs w:val="22"/>
              </w:rPr>
              <w:t>序号</w:t>
            </w:r>
          </w:p>
        </w:tc>
        <w:tc>
          <w:tcPr>
            <w:tcW w:w="1943" w:type="pct"/>
            <w:vAlign w:val="center"/>
          </w:tcPr>
          <w:p>
            <w:pPr>
              <w:pStyle w:val="23"/>
              <w:spacing w:line="480" w:lineRule="auto"/>
              <w:jc w:val="center"/>
              <w:rPr>
                <w:rFonts w:hint="eastAsia" w:ascii="方正仿宋_GBK" w:hAnsi="方正仿宋_GBK" w:eastAsia="方正仿宋_GBK" w:cs="方正仿宋_GBK"/>
                <w:b/>
                <w:sz w:val="22"/>
                <w:szCs w:val="22"/>
              </w:rPr>
            </w:pPr>
            <w:r>
              <w:rPr>
                <w:rFonts w:hint="eastAsia" w:ascii="方正仿宋_GBK" w:hAnsi="方正仿宋_GBK" w:eastAsia="方正仿宋_GBK" w:cs="方正仿宋_GBK"/>
                <w:b/>
                <w:sz w:val="22"/>
                <w:szCs w:val="22"/>
              </w:rPr>
              <w:t>磋商文件要求</w:t>
            </w:r>
          </w:p>
        </w:tc>
        <w:tc>
          <w:tcPr>
            <w:tcW w:w="1943" w:type="pct"/>
            <w:vAlign w:val="center"/>
          </w:tcPr>
          <w:p>
            <w:pPr>
              <w:pStyle w:val="23"/>
              <w:spacing w:line="480" w:lineRule="auto"/>
              <w:jc w:val="center"/>
              <w:rPr>
                <w:rFonts w:hint="eastAsia" w:ascii="方正仿宋_GBK" w:hAnsi="方正仿宋_GBK" w:eastAsia="方正仿宋_GBK" w:cs="方正仿宋_GBK"/>
                <w:b/>
                <w:sz w:val="22"/>
                <w:szCs w:val="22"/>
              </w:rPr>
            </w:pPr>
            <w:r>
              <w:rPr>
                <w:rFonts w:hint="eastAsia" w:ascii="方正仿宋_GBK" w:hAnsi="方正仿宋_GBK" w:eastAsia="方正仿宋_GBK" w:cs="方正仿宋_GBK"/>
                <w:b/>
                <w:sz w:val="22"/>
                <w:szCs w:val="22"/>
              </w:rPr>
              <w:t>响应内容</w:t>
            </w:r>
          </w:p>
        </w:tc>
        <w:tc>
          <w:tcPr>
            <w:tcW w:w="686" w:type="pct"/>
            <w:vAlign w:val="center"/>
          </w:tcPr>
          <w:p>
            <w:pPr>
              <w:pStyle w:val="23"/>
              <w:spacing w:line="480" w:lineRule="auto"/>
              <w:jc w:val="center"/>
              <w:rPr>
                <w:rFonts w:hint="eastAsia" w:ascii="方正仿宋_GBK" w:hAnsi="方正仿宋_GBK" w:eastAsia="方正仿宋_GBK" w:cs="方正仿宋_GBK"/>
                <w:b/>
                <w:sz w:val="22"/>
                <w:szCs w:val="22"/>
              </w:rPr>
            </w:pPr>
            <w:r>
              <w:rPr>
                <w:rFonts w:hint="eastAsia" w:ascii="方正仿宋_GBK" w:hAnsi="方正仿宋_GBK" w:eastAsia="方正仿宋_GBK" w:cs="方正仿宋_GBK"/>
                <w:b/>
                <w:sz w:val="22"/>
                <w:szCs w:val="22"/>
              </w:rPr>
              <w:t>符合情况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pStyle w:val="23"/>
              <w:spacing w:line="480" w:lineRule="auto"/>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pct"/>
            <w:vAlign w:val="center"/>
          </w:tcPr>
          <w:p>
            <w:pPr>
              <w:pStyle w:val="23"/>
              <w:spacing w:line="480" w:lineRule="auto"/>
              <w:jc w:val="center"/>
              <w:rPr>
                <w:rFonts w:hint="eastAsia" w:ascii="方正仿宋_GBK" w:hAnsi="方正仿宋_GBK" w:eastAsia="方正仿宋_GBK" w:cs="方正仿宋_GBK"/>
                <w:sz w:val="22"/>
                <w:szCs w:val="22"/>
              </w:rPr>
            </w:pPr>
          </w:p>
        </w:tc>
        <w:tc>
          <w:tcPr>
            <w:tcW w:w="1943" w:type="pct"/>
            <w:vAlign w:val="center"/>
          </w:tcPr>
          <w:p>
            <w:pPr>
              <w:pStyle w:val="23"/>
              <w:spacing w:line="480" w:lineRule="auto"/>
              <w:jc w:val="center"/>
              <w:rPr>
                <w:rFonts w:hint="eastAsia" w:ascii="方正仿宋_GBK" w:hAnsi="方正仿宋_GBK" w:eastAsia="方正仿宋_GBK" w:cs="方正仿宋_GBK"/>
                <w:sz w:val="22"/>
                <w:szCs w:val="22"/>
              </w:rPr>
            </w:pPr>
          </w:p>
        </w:tc>
        <w:tc>
          <w:tcPr>
            <w:tcW w:w="1943" w:type="pct"/>
            <w:vAlign w:val="center"/>
          </w:tcPr>
          <w:p>
            <w:pPr>
              <w:pStyle w:val="23"/>
              <w:spacing w:line="480" w:lineRule="auto"/>
              <w:jc w:val="center"/>
              <w:rPr>
                <w:rFonts w:hint="eastAsia" w:ascii="方正仿宋_GBK" w:hAnsi="方正仿宋_GBK" w:eastAsia="方正仿宋_GBK" w:cs="方正仿宋_GBK"/>
                <w:sz w:val="22"/>
                <w:szCs w:val="22"/>
              </w:rPr>
            </w:pPr>
          </w:p>
        </w:tc>
        <w:tc>
          <w:tcPr>
            <w:tcW w:w="686" w:type="pct"/>
            <w:vAlign w:val="center"/>
          </w:tcPr>
          <w:p>
            <w:pPr>
              <w:pStyle w:val="23"/>
              <w:spacing w:line="480" w:lineRule="auto"/>
              <w:jc w:val="center"/>
              <w:rPr>
                <w:rFonts w:hint="eastAsia" w:ascii="方正仿宋_GBK" w:hAnsi="方正仿宋_GBK" w:eastAsia="方正仿宋_GBK" w:cs="方正仿宋_GBK"/>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pct"/>
            <w:vAlign w:val="center"/>
          </w:tcPr>
          <w:p>
            <w:pPr>
              <w:pStyle w:val="23"/>
              <w:spacing w:line="480" w:lineRule="auto"/>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w:t>
            </w:r>
          </w:p>
        </w:tc>
        <w:tc>
          <w:tcPr>
            <w:tcW w:w="1943" w:type="pct"/>
            <w:vAlign w:val="center"/>
          </w:tcPr>
          <w:p>
            <w:pPr>
              <w:pStyle w:val="23"/>
              <w:spacing w:line="480" w:lineRule="auto"/>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w:t>
            </w:r>
          </w:p>
        </w:tc>
        <w:tc>
          <w:tcPr>
            <w:tcW w:w="1943" w:type="pct"/>
            <w:vAlign w:val="center"/>
          </w:tcPr>
          <w:p>
            <w:pPr>
              <w:pStyle w:val="23"/>
              <w:spacing w:line="480" w:lineRule="auto"/>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w:t>
            </w:r>
          </w:p>
        </w:tc>
        <w:tc>
          <w:tcPr>
            <w:tcW w:w="686" w:type="pct"/>
            <w:vAlign w:val="center"/>
          </w:tcPr>
          <w:p>
            <w:pPr>
              <w:pStyle w:val="23"/>
              <w:spacing w:line="480" w:lineRule="auto"/>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pStyle w:val="23"/>
              <w:spacing w:line="480" w:lineRule="auto"/>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pct"/>
            <w:vAlign w:val="center"/>
          </w:tcPr>
          <w:p>
            <w:pPr>
              <w:pStyle w:val="23"/>
              <w:spacing w:line="480" w:lineRule="auto"/>
              <w:jc w:val="center"/>
              <w:rPr>
                <w:rFonts w:hint="eastAsia" w:ascii="方正仿宋_GBK" w:hAnsi="方正仿宋_GBK" w:eastAsia="方正仿宋_GBK" w:cs="方正仿宋_GBK"/>
                <w:sz w:val="22"/>
                <w:szCs w:val="22"/>
              </w:rPr>
            </w:pPr>
          </w:p>
        </w:tc>
        <w:tc>
          <w:tcPr>
            <w:tcW w:w="1943" w:type="pct"/>
            <w:vAlign w:val="center"/>
          </w:tcPr>
          <w:p>
            <w:pPr>
              <w:pStyle w:val="23"/>
              <w:spacing w:line="480" w:lineRule="auto"/>
              <w:jc w:val="center"/>
              <w:rPr>
                <w:rFonts w:hint="eastAsia" w:ascii="方正仿宋_GBK" w:hAnsi="方正仿宋_GBK" w:eastAsia="方正仿宋_GBK" w:cs="方正仿宋_GBK"/>
                <w:sz w:val="22"/>
                <w:szCs w:val="22"/>
              </w:rPr>
            </w:pPr>
          </w:p>
        </w:tc>
        <w:tc>
          <w:tcPr>
            <w:tcW w:w="1943" w:type="pct"/>
            <w:vAlign w:val="center"/>
          </w:tcPr>
          <w:p>
            <w:pPr>
              <w:pStyle w:val="23"/>
              <w:spacing w:line="480" w:lineRule="auto"/>
              <w:jc w:val="center"/>
              <w:rPr>
                <w:rFonts w:hint="eastAsia" w:ascii="方正仿宋_GBK" w:hAnsi="方正仿宋_GBK" w:eastAsia="方正仿宋_GBK" w:cs="方正仿宋_GBK"/>
                <w:sz w:val="22"/>
                <w:szCs w:val="22"/>
              </w:rPr>
            </w:pPr>
          </w:p>
        </w:tc>
        <w:tc>
          <w:tcPr>
            <w:tcW w:w="686" w:type="pct"/>
            <w:vAlign w:val="center"/>
          </w:tcPr>
          <w:p>
            <w:pPr>
              <w:pStyle w:val="23"/>
              <w:spacing w:line="480" w:lineRule="auto"/>
              <w:jc w:val="center"/>
              <w:rPr>
                <w:rFonts w:hint="eastAsia" w:ascii="方正仿宋_GBK" w:hAnsi="方正仿宋_GBK" w:eastAsia="方正仿宋_GBK" w:cs="方正仿宋_GBK"/>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pct"/>
            <w:vAlign w:val="center"/>
          </w:tcPr>
          <w:p>
            <w:pPr>
              <w:pStyle w:val="23"/>
              <w:spacing w:line="480" w:lineRule="auto"/>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w:t>
            </w:r>
          </w:p>
        </w:tc>
        <w:tc>
          <w:tcPr>
            <w:tcW w:w="1943" w:type="pct"/>
            <w:vAlign w:val="center"/>
          </w:tcPr>
          <w:p>
            <w:pPr>
              <w:pStyle w:val="23"/>
              <w:spacing w:line="480" w:lineRule="auto"/>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w:t>
            </w:r>
          </w:p>
        </w:tc>
        <w:tc>
          <w:tcPr>
            <w:tcW w:w="1943" w:type="pct"/>
            <w:vAlign w:val="center"/>
          </w:tcPr>
          <w:p>
            <w:pPr>
              <w:pStyle w:val="23"/>
              <w:spacing w:line="480" w:lineRule="auto"/>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w:t>
            </w:r>
          </w:p>
        </w:tc>
        <w:tc>
          <w:tcPr>
            <w:tcW w:w="686" w:type="pct"/>
            <w:vAlign w:val="center"/>
          </w:tcPr>
          <w:p>
            <w:pPr>
              <w:pStyle w:val="23"/>
              <w:spacing w:line="480" w:lineRule="auto"/>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w:t>
            </w:r>
          </w:p>
        </w:tc>
      </w:tr>
    </w:tbl>
    <w:p>
      <w:pPr>
        <w:spacing w:line="4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注：</w:t>
      </w:r>
    </w:p>
    <w:p>
      <w:pPr>
        <w:spacing w:line="4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1.供应商需对照磋商文件第四章第二条，逐项梳理填写本表；</w:t>
      </w:r>
    </w:p>
    <w:p>
      <w:pPr>
        <w:spacing w:line="4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2.“符合情况”一列，填写“响应”、“部分响应”或“不响应”。 </w:t>
      </w:r>
    </w:p>
    <w:p>
      <w:pPr>
        <w:spacing w:line="360" w:lineRule="auto"/>
        <w:jc w:val="right"/>
        <w:rPr>
          <w:rFonts w:hint="eastAsia" w:ascii="方正仿宋_GBK" w:hAnsi="方正仿宋_GBK" w:eastAsia="方正仿宋_GBK" w:cs="方正仿宋_GBK"/>
          <w:sz w:val="32"/>
          <w:szCs w:val="32"/>
        </w:rPr>
      </w:pPr>
    </w:p>
    <w:p>
      <w:pPr>
        <w:spacing w:line="400" w:lineRule="exact"/>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二、</w:t>
      </w:r>
      <w:r>
        <w:rPr>
          <w:rFonts w:hint="eastAsia" w:ascii="方正仿宋_GBK" w:hAnsi="方正仿宋_GBK" w:eastAsia="方正仿宋_GBK" w:cs="方正仿宋_GBK"/>
          <w:b/>
          <w:bCs/>
          <w:sz w:val="24"/>
          <w:lang w:eastAsia="zh-CN"/>
        </w:rPr>
        <w:t>商务要求</w:t>
      </w:r>
      <w:r>
        <w:rPr>
          <w:rFonts w:hint="eastAsia" w:ascii="方正仿宋_GBK" w:hAnsi="方正仿宋_GBK" w:eastAsia="方正仿宋_GBK" w:cs="方正仿宋_GBK"/>
          <w:b/>
          <w:bCs/>
          <w:sz w:val="24"/>
        </w:rPr>
        <w:t>响应情况对照表</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6"/>
        <w:gridCol w:w="2591"/>
        <w:gridCol w:w="2961"/>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55" w:type="pct"/>
            <w:vAlign w:val="center"/>
          </w:tcPr>
          <w:p>
            <w:pPr>
              <w:pStyle w:val="23"/>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序号</w:t>
            </w:r>
          </w:p>
        </w:tc>
        <w:tc>
          <w:tcPr>
            <w:tcW w:w="1520" w:type="pct"/>
            <w:vAlign w:val="center"/>
          </w:tcPr>
          <w:p>
            <w:pPr>
              <w:pStyle w:val="23"/>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磋商文件要求</w:t>
            </w:r>
          </w:p>
        </w:tc>
        <w:tc>
          <w:tcPr>
            <w:tcW w:w="1737" w:type="pct"/>
            <w:vAlign w:val="center"/>
          </w:tcPr>
          <w:p>
            <w:pPr>
              <w:pStyle w:val="23"/>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响应情况</w:t>
            </w:r>
          </w:p>
        </w:tc>
        <w:tc>
          <w:tcPr>
            <w:tcW w:w="1088" w:type="pct"/>
            <w:vAlign w:val="center"/>
          </w:tcPr>
          <w:p>
            <w:pPr>
              <w:pStyle w:val="23"/>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符合情况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55" w:type="pct"/>
            <w:vAlign w:val="center"/>
          </w:tcPr>
          <w:p>
            <w:pPr>
              <w:pStyle w:val="23"/>
              <w:jc w:val="center"/>
              <w:rPr>
                <w:rFonts w:hint="eastAsia" w:ascii="方正仿宋_GBK" w:hAnsi="方正仿宋_GBK" w:eastAsia="方正仿宋_GBK" w:cs="方正仿宋_GBK"/>
                <w:sz w:val="21"/>
                <w:szCs w:val="21"/>
              </w:rPr>
            </w:pPr>
          </w:p>
        </w:tc>
        <w:tc>
          <w:tcPr>
            <w:tcW w:w="1520" w:type="pct"/>
            <w:vAlign w:val="center"/>
          </w:tcPr>
          <w:p>
            <w:pPr>
              <w:pStyle w:val="23"/>
              <w:jc w:val="center"/>
              <w:rPr>
                <w:rFonts w:hint="eastAsia" w:ascii="方正仿宋_GBK" w:hAnsi="方正仿宋_GBK" w:eastAsia="方正仿宋_GBK" w:cs="方正仿宋_GBK"/>
                <w:sz w:val="21"/>
                <w:szCs w:val="21"/>
              </w:rPr>
            </w:pPr>
          </w:p>
        </w:tc>
        <w:tc>
          <w:tcPr>
            <w:tcW w:w="1737" w:type="pct"/>
            <w:vAlign w:val="center"/>
          </w:tcPr>
          <w:p>
            <w:pPr>
              <w:pStyle w:val="23"/>
              <w:jc w:val="center"/>
              <w:rPr>
                <w:rFonts w:hint="eastAsia" w:ascii="方正仿宋_GBK" w:hAnsi="方正仿宋_GBK" w:eastAsia="方正仿宋_GBK" w:cs="方正仿宋_GBK"/>
                <w:sz w:val="21"/>
                <w:szCs w:val="21"/>
              </w:rPr>
            </w:pPr>
          </w:p>
        </w:tc>
        <w:tc>
          <w:tcPr>
            <w:tcW w:w="1088" w:type="pct"/>
            <w:vAlign w:val="center"/>
          </w:tcPr>
          <w:p>
            <w:pPr>
              <w:pStyle w:val="23"/>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55" w:type="pct"/>
            <w:vAlign w:val="center"/>
          </w:tcPr>
          <w:p>
            <w:pPr>
              <w:pStyle w:val="23"/>
              <w:jc w:val="center"/>
              <w:rPr>
                <w:rFonts w:hint="eastAsia" w:ascii="方正仿宋_GBK" w:hAnsi="方正仿宋_GBK" w:eastAsia="方正仿宋_GBK" w:cs="方正仿宋_GBK"/>
                <w:sz w:val="21"/>
                <w:szCs w:val="21"/>
              </w:rPr>
            </w:pPr>
          </w:p>
        </w:tc>
        <w:tc>
          <w:tcPr>
            <w:tcW w:w="1520" w:type="pct"/>
            <w:vAlign w:val="center"/>
          </w:tcPr>
          <w:p>
            <w:pPr>
              <w:pStyle w:val="23"/>
              <w:jc w:val="center"/>
              <w:rPr>
                <w:rFonts w:hint="eastAsia" w:ascii="方正仿宋_GBK" w:hAnsi="方正仿宋_GBK" w:eastAsia="方正仿宋_GBK" w:cs="方正仿宋_GBK"/>
                <w:sz w:val="21"/>
                <w:szCs w:val="21"/>
              </w:rPr>
            </w:pPr>
          </w:p>
        </w:tc>
        <w:tc>
          <w:tcPr>
            <w:tcW w:w="1737" w:type="pct"/>
            <w:vAlign w:val="center"/>
          </w:tcPr>
          <w:p>
            <w:pPr>
              <w:pStyle w:val="23"/>
              <w:jc w:val="center"/>
              <w:rPr>
                <w:rFonts w:hint="eastAsia" w:ascii="方正仿宋_GBK" w:hAnsi="方正仿宋_GBK" w:eastAsia="方正仿宋_GBK" w:cs="方正仿宋_GBK"/>
                <w:sz w:val="21"/>
                <w:szCs w:val="21"/>
              </w:rPr>
            </w:pPr>
          </w:p>
        </w:tc>
        <w:tc>
          <w:tcPr>
            <w:tcW w:w="1088" w:type="pct"/>
            <w:vAlign w:val="center"/>
          </w:tcPr>
          <w:p>
            <w:pPr>
              <w:pStyle w:val="23"/>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55" w:type="pct"/>
            <w:vAlign w:val="center"/>
          </w:tcPr>
          <w:p>
            <w:pPr>
              <w:pStyle w:val="23"/>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1520" w:type="pct"/>
            <w:vAlign w:val="center"/>
          </w:tcPr>
          <w:p>
            <w:pPr>
              <w:pStyle w:val="23"/>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1737" w:type="pct"/>
            <w:vAlign w:val="center"/>
          </w:tcPr>
          <w:p>
            <w:pPr>
              <w:pStyle w:val="23"/>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1088" w:type="pct"/>
            <w:vAlign w:val="center"/>
          </w:tcPr>
          <w:p>
            <w:pPr>
              <w:pStyle w:val="23"/>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r>
    </w:tbl>
    <w:p>
      <w:pPr>
        <w:spacing w:line="4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注：</w:t>
      </w:r>
    </w:p>
    <w:p>
      <w:pPr>
        <w:spacing w:line="4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1.供应商应对照磋商文件第七章所列合同草案条款填制本表；</w:t>
      </w:r>
    </w:p>
    <w:p>
      <w:pPr>
        <w:spacing w:line="4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2.“符合情况”一列，填写“符合”、“部分符合”或“不符合”。</w:t>
      </w:r>
    </w:p>
    <w:p>
      <w:pPr>
        <w:spacing w:line="400" w:lineRule="exact"/>
        <w:rPr>
          <w:rFonts w:hint="eastAsia" w:ascii="方正仿宋_GBK" w:hAnsi="方正仿宋_GBK" w:eastAsia="方正仿宋_GBK" w:cs="方正仿宋_GBK"/>
          <w:sz w:val="24"/>
        </w:rPr>
      </w:pPr>
    </w:p>
    <w:p>
      <w:pPr>
        <w:spacing w:line="360" w:lineRule="auto"/>
        <w:ind w:firstLine="4680" w:firstLineChars="1950"/>
        <w:rPr>
          <w:rFonts w:hint="eastAsia" w:ascii="方正仿宋_GBK" w:hAnsi="方正仿宋_GBK" w:eastAsia="方正仿宋_GBK" w:cs="方正仿宋_GBK"/>
        </w:rPr>
      </w:pPr>
      <w:r>
        <w:rPr>
          <w:rFonts w:hint="eastAsia" w:ascii="方正仿宋_GBK" w:hAnsi="方正仿宋_GBK" w:eastAsia="方正仿宋_GBK" w:cs="方正仿宋_GBK"/>
          <w:sz w:val="24"/>
        </w:rPr>
        <w:t xml:space="preserve"> </w:t>
      </w:r>
    </w:p>
    <w:p>
      <w:pPr>
        <w:spacing w:line="400" w:lineRule="exact"/>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三、</w:t>
      </w:r>
      <w:r>
        <w:rPr>
          <w:rFonts w:hint="eastAsia" w:ascii="方正仿宋_GBK" w:hAnsi="方正仿宋_GBK" w:eastAsia="方正仿宋_GBK" w:cs="方正仿宋_GBK"/>
          <w:b/>
          <w:bCs/>
          <w:sz w:val="24"/>
          <w:lang w:eastAsia="zh-CN"/>
        </w:rPr>
        <w:t>技术服务方案、</w:t>
      </w:r>
      <w:r>
        <w:rPr>
          <w:rFonts w:hint="eastAsia" w:ascii="方正仿宋_GBK" w:hAnsi="方正仿宋_GBK" w:eastAsia="方正仿宋_GBK" w:cs="方正仿宋_GBK"/>
          <w:b/>
          <w:bCs/>
          <w:sz w:val="24"/>
        </w:rPr>
        <w:t>项目实施方案</w:t>
      </w:r>
    </w:p>
    <w:p>
      <w:pPr>
        <w:spacing w:line="520" w:lineRule="exact"/>
        <w:rPr>
          <w:rFonts w:hint="eastAsia" w:ascii="方正仿宋_GBK" w:hAnsi="方正仿宋_GBK" w:eastAsia="方正仿宋_GBK" w:cs="方正仿宋_GBK"/>
          <w:sz w:val="28"/>
        </w:rPr>
      </w:pPr>
      <w:r>
        <w:rPr>
          <w:rFonts w:hint="eastAsia" w:ascii="方正仿宋_GBK" w:hAnsi="方正仿宋_GBK" w:eastAsia="方正仿宋_GBK" w:cs="方正仿宋_GBK"/>
          <w:sz w:val="28"/>
          <w:u w:val="single"/>
        </w:rPr>
        <w:t xml:space="preserve">                               </w:t>
      </w:r>
    </w:p>
    <w:p>
      <w:pPr>
        <w:spacing w:line="520" w:lineRule="exact"/>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四、售后服务相关材料</w:t>
      </w:r>
    </w:p>
    <w:p>
      <w:pPr>
        <w:spacing w:line="520" w:lineRule="exact"/>
        <w:rPr>
          <w:rFonts w:hint="eastAsia" w:ascii="方正仿宋_GBK" w:hAnsi="方正仿宋_GBK" w:eastAsia="方正仿宋_GBK" w:cs="方正仿宋_GBK"/>
          <w:sz w:val="28"/>
        </w:rPr>
      </w:pPr>
      <w:r>
        <w:rPr>
          <w:rFonts w:hint="eastAsia" w:ascii="方正仿宋_GBK" w:hAnsi="方正仿宋_GBK" w:eastAsia="方正仿宋_GBK" w:cs="方正仿宋_GBK"/>
          <w:sz w:val="28"/>
          <w:u w:val="single"/>
        </w:rPr>
        <w:t xml:space="preserve">                               </w:t>
      </w:r>
    </w:p>
    <w:p>
      <w:pPr>
        <w:spacing w:line="400" w:lineRule="exact"/>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五、供应商认为需要提供的其它相关资料</w:t>
      </w:r>
    </w:p>
    <w:p>
      <w:pPr>
        <w:spacing w:line="400" w:lineRule="exact"/>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（一）关于享受价格扣除提供的材料</w:t>
      </w:r>
    </w:p>
    <w:p>
      <w:pPr>
        <w:spacing w:line="400" w:lineRule="exact"/>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1.中小企业声明函（如有）</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本公司郑重声明，根据《政府采购促进中小企业发展管理办法》（财库﹝2020﹞46 号）的规定，本公司参加</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的</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采购活动，服务全部由符合政策要求的中小企业承接。相关企业的具体情况如下：</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u w:val="single"/>
        </w:rPr>
        <w:t>（标的名称）</w:t>
      </w:r>
      <w:r>
        <w:rPr>
          <w:rFonts w:hint="eastAsia" w:ascii="方正仿宋_GBK" w:hAnsi="方正仿宋_GBK" w:eastAsia="方正仿宋_GBK" w:cs="方正仿宋_GBK"/>
          <w:sz w:val="28"/>
          <w:szCs w:val="28"/>
        </w:rPr>
        <w:t>，属于</w:t>
      </w:r>
      <w:r>
        <w:rPr>
          <w:rFonts w:hint="eastAsia" w:ascii="方正仿宋_GBK" w:hAnsi="方正仿宋_GBK" w:eastAsia="方正仿宋_GBK" w:cs="方正仿宋_GBK"/>
          <w:sz w:val="28"/>
          <w:szCs w:val="28"/>
          <w:u w:val="single"/>
        </w:rPr>
        <w:t>（采购文件中明确的所属行业）行业</w:t>
      </w:r>
      <w:r>
        <w:rPr>
          <w:rFonts w:hint="eastAsia" w:ascii="方正仿宋_GBK" w:hAnsi="方正仿宋_GBK" w:eastAsia="方正仿宋_GBK" w:cs="方正仿宋_GBK"/>
          <w:sz w:val="28"/>
          <w:szCs w:val="28"/>
        </w:rPr>
        <w:t>；制造商为</w:t>
      </w:r>
      <w:r>
        <w:rPr>
          <w:rFonts w:hint="eastAsia" w:ascii="方正仿宋_GBK" w:hAnsi="方正仿宋_GBK" w:eastAsia="方正仿宋_GBK" w:cs="方正仿宋_GBK"/>
          <w:sz w:val="28"/>
          <w:szCs w:val="28"/>
          <w:u w:val="single"/>
        </w:rPr>
        <w:t>（企业名称）</w:t>
      </w:r>
      <w:r>
        <w:rPr>
          <w:rFonts w:hint="eastAsia" w:ascii="方正仿宋_GBK" w:hAnsi="方正仿宋_GBK" w:eastAsia="方正仿宋_GBK" w:cs="方正仿宋_GBK"/>
          <w:sz w:val="28"/>
          <w:szCs w:val="28"/>
        </w:rPr>
        <w:t>，从业人员______人，营业收入为______万元，资产总额为______万元，属于（中型企业、小型企业、微型企业）；</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以上企业，不属于大企业的分支机构，不存在控股股东为大企业的情形，也不存在与大企业的负责人为同一人的情形。</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本企业对上述声明内容的真实性负责。如有虚假，将依法承担相应责任。</w:t>
      </w:r>
    </w:p>
    <w:p>
      <w:pPr>
        <w:spacing w:line="400" w:lineRule="exact"/>
        <w:ind w:firstLine="3360" w:firstLineChars="1200"/>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供应商：</w:t>
      </w:r>
      <w:r>
        <w:rPr>
          <w:rFonts w:hint="eastAsia" w:ascii="方正仿宋_GBK" w:hAnsi="方正仿宋_GBK" w:eastAsia="方正仿宋_GBK" w:cs="方正仿宋_GBK"/>
          <w:sz w:val="28"/>
          <w:u w:val="single"/>
        </w:rPr>
        <w:t>（名称和加盖公章）</w:t>
      </w:r>
    </w:p>
    <w:p>
      <w:pPr>
        <w:spacing w:line="400" w:lineRule="exact"/>
        <w:ind w:firstLine="3360" w:firstLineChars="1200"/>
        <w:rPr>
          <w:rFonts w:hint="eastAsia" w:ascii="方正仿宋_GBK" w:hAnsi="方正仿宋_GBK" w:eastAsia="方正仿宋_GBK" w:cs="方正仿宋_GBK"/>
          <w:sz w:val="28"/>
        </w:rPr>
      </w:pPr>
    </w:p>
    <w:p>
      <w:pPr>
        <w:spacing w:line="400" w:lineRule="exact"/>
        <w:jc w:val="right"/>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______年___月___日</w:t>
      </w:r>
    </w:p>
    <w:p>
      <w:pPr>
        <w:spacing w:line="400" w:lineRule="exact"/>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（注：1.关于以上格式的“标的名称”，需按第四章表所示“采购内容”进行对应；2.从业人员、营业收入、资产总额填报上一年度数据，无上一年度数据的新成立企业可不填报）</w:t>
      </w:r>
    </w:p>
    <w:p>
      <w:pPr>
        <w:spacing w:line="400" w:lineRule="exact"/>
        <w:rPr>
          <w:rFonts w:hint="eastAsia" w:ascii="方正仿宋_GBK" w:hAnsi="方正仿宋_GBK" w:eastAsia="方正仿宋_GBK" w:cs="方正仿宋_GBK"/>
          <w:sz w:val="28"/>
          <w:szCs w:val="28"/>
        </w:rPr>
      </w:pPr>
    </w:p>
    <w:p>
      <w:pPr>
        <w:spacing w:line="400" w:lineRule="exact"/>
        <w:ind w:firstLine="560" w:firstLineChars="200"/>
        <w:rPr>
          <w:rFonts w:hint="eastAsia" w:ascii="方正仿宋_GBK" w:hAnsi="方正仿宋_GBK" w:eastAsia="方正仿宋_GBK" w:cs="方正仿宋_GBK"/>
          <w:sz w:val="28"/>
          <w:szCs w:val="28"/>
        </w:rPr>
      </w:pPr>
    </w:p>
    <w:p>
      <w:pPr>
        <w:spacing w:line="400" w:lineRule="exact"/>
        <w:rPr>
          <w:rFonts w:hint="eastAsia" w:ascii="方正仿宋_GBK" w:hAnsi="方正仿宋_GBK" w:eastAsia="方正仿宋_GBK" w:cs="方正仿宋_GBK"/>
          <w:b/>
          <w:sz w:val="28"/>
          <w:szCs w:val="28"/>
        </w:rPr>
      </w:pPr>
      <w:bookmarkStart w:id="330" w:name="_Hlk531942533"/>
      <w:r>
        <w:rPr>
          <w:rFonts w:hint="eastAsia" w:ascii="方正仿宋_GBK" w:hAnsi="方正仿宋_GBK" w:eastAsia="方正仿宋_GBK" w:cs="方正仿宋_GBK"/>
          <w:b/>
          <w:sz w:val="28"/>
          <w:szCs w:val="28"/>
        </w:rPr>
        <w:t>2.监狱企业</w:t>
      </w:r>
      <w:bookmarkEnd w:id="330"/>
      <w:r>
        <w:rPr>
          <w:rFonts w:hint="eastAsia" w:ascii="方正仿宋_GBK" w:hAnsi="方正仿宋_GBK" w:eastAsia="方正仿宋_GBK" w:cs="方正仿宋_GBK"/>
          <w:b/>
          <w:sz w:val="28"/>
          <w:szCs w:val="28"/>
        </w:rPr>
        <w:t>证明材料（若有）</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（供应商需自证或证明生产厂商是监狱企业的，应提供由省级及以上监狱管理局、戒毒管理局（含新疆生产建设兵团）出具的证明文件复印件）</w:t>
      </w:r>
    </w:p>
    <w:p>
      <w:pPr>
        <w:spacing w:line="360" w:lineRule="auto"/>
        <w:ind w:left="4620" w:leftChars="2200"/>
        <w:rPr>
          <w:rFonts w:hint="eastAsia" w:ascii="方正仿宋_GBK" w:hAnsi="方正仿宋_GBK" w:eastAsia="方正仿宋_GBK" w:cs="方正仿宋_GBK"/>
          <w:sz w:val="28"/>
          <w:szCs w:val="28"/>
        </w:rPr>
      </w:pPr>
    </w:p>
    <w:p>
      <w:pPr>
        <w:spacing w:line="360" w:lineRule="auto"/>
        <w:ind w:left="4620" w:leftChars="2200"/>
        <w:rPr>
          <w:rFonts w:hint="eastAsia"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rPr>
        <w:t>供应商：</w:t>
      </w:r>
      <w:r>
        <w:rPr>
          <w:rFonts w:hint="eastAsia" w:ascii="方正仿宋_GBK" w:hAnsi="方正仿宋_GBK" w:eastAsia="方正仿宋_GBK" w:cs="方正仿宋_GBK"/>
          <w:sz w:val="28"/>
          <w:szCs w:val="28"/>
          <w:u w:val="single"/>
        </w:rPr>
        <w:t>（名称和加盖公章）</w:t>
      </w:r>
    </w:p>
    <w:p>
      <w:pPr>
        <w:spacing w:line="360" w:lineRule="auto"/>
        <w:ind w:left="4620" w:leftChars="2200"/>
        <w:rPr>
          <w:rFonts w:hint="eastAsia" w:ascii="方正仿宋_GBK" w:hAnsi="方正仿宋_GBK" w:eastAsia="方正仿宋_GBK" w:cs="方正仿宋_GBK"/>
          <w:sz w:val="28"/>
          <w:szCs w:val="28"/>
        </w:rPr>
      </w:pPr>
    </w:p>
    <w:p>
      <w:pPr>
        <w:spacing w:line="360" w:lineRule="auto"/>
        <w:jc w:val="righ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______年___月___日</w:t>
      </w:r>
    </w:p>
    <w:p>
      <w:pPr>
        <w:wordWrap w:val="0"/>
        <w:spacing w:line="360" w:lineRule="auto"/>
        <w:jc w:val="righ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p>
    <w:p>
      <w:pPr>
        <w:spacing w:line="400" w:lineRule="exact"/>
        <w:rPr>
          <w:rFonts w:hint="eastAsia" w:ascii="方正仿宋_GBK" w:hAnsi="方正仿宋_GBK" w:eastAsia="方正仿宋_GBK" w:cs="方正仿宋_GBK"/>
          <w:sz w:val="28"/>
          <w:szCs w:val="28"/>
        </w:rPr>
      </w:pPr>
    </w:p>
    <w:p>
      <w:pPr>
        <w:spacing w:line="400" w:lineRule="exact"/>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3.残疾人福利性单位声明函（若有）</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本单位郑重声明，根据《财政部 民政部 中国残疾人联合会关于促进残疾人就业政府采购政策的通知》（财库〔2017〕141号）的规定，本单位为符合条件的残疾人福利性单位，且本单位参加“___________”项目采购活动提供本单位，由本单位提供服务。</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本单位对上述声明的真实性负责。如有虚假，将依法承担相应责任。</w:t>
      </w:r>
    </w:p>
    <w:p>
      <w:pPr>
        <w:spacing w:line="400" w:lineRule="exact"/>
        <w:ind w:firstLine="560" w:firstLineChars="200"/>
        <w:rPr>
          <w:rFonts w:hint="eastAsia" w:ascii="方正仿宋_GBK" w:hAnsi="方正仿宋_GBK" w:eastAsia="方正仿宋_GBK" w:cs="方正仿宋_GBK"/>
          <w:sz w:val="28"/>
          <w:szCs w:val="28"/>
        </w:rPr>
      </w:pPr>
    </w:p>
    <w:p>
      <w:pPr>
        <w:spacing w:line="360" w:lineRule="auto"/>
        <w:ind w:left="4620" w:leftChars="2200"/>
        <w:rPr>
          <w:rFonts w:hint="eastAsia"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rPr>
        <w:t>供应商：</w:t>
      </w:r>
      <w:r>
        <w:rPr>
          <w:rFonts w:hint="eastAsia" w:ascii="方正仿宋_GBK" w:hAnsi="方正仿宋_GBK" w:eastAsia="方正仿宋_GBK" w:cs="方正仿宋_GBK"/>
          <w:sz w:val="28"/>
          <w:szCs w:val="28"/>
          <w:u w:val="single"/>
        </w:rPr>
        <w:t>（名称和加盖公章）</w:t>
      </w:r>
    </w:p>
    <w:p>
      <w:pPr>
        <w:spacing w:line="360" w:lineRule="auto"/>
        <w:ind w:left="4620" w:leftChars="2200"/>
        <w:rPr>
          <w:rFonts w:hint="eastAsia" w:ascii="方正仿宋_GBK" w:hAnsi="方正仿宋_GBK" w:eastAsia="方正仿宋_GBK" w:cs="方正仿宋_GBK"/>
          <w:sz w:val="28"/>
          <w:szCs w:val="28"/>
        </w:rPr>
      </w:pPr>
    </w:p>
    <w:p>
      <w:pPr>
        <w:spacing w:line="360" w:lineRule="auto"/>
        <w:jc w:val="righ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______年___月___日</w:t>
      </w:r>
    </w:p>
    <w:p>
      <w:pPr>
        <w:spacing w:line="400" w:lineRule="exact"/>
        <w:ind w:firstLine="480" w:firstLineChars="200"/>
        <w:rPr>
          <w:rFonts w:hint="eastAsia" w:ascii="方正仿宋_GBK" w:hAnsi="方正仿宋_GBK" w:eastAsia="方正仿宋_GBK" w:cs="方正仿宋_GBK"/>
          <w:sz w:val="24"/>
        </w:rPr>
      </w:pPr>
    </w:p>
    <w:p>
      <w:pPr>
        <w:spacing w:line="400" w:lineRule="exact"/>
        <w:rPr>
          <w:rFonts w:hint="eastAsia" w:ascii="方正仿宋_GBK" w:hAnsi="方正仿宋_GBK" w:eastAsia="方正仿宋_GBK" w:cs="方正仿宋_GBK"/>
          <w:b/>
          <w:sz w:val="24"/>
        </w:rPr>
      </w:pPr>
      <w:r>
        <w:rPr>
          <w:rFonts w:hint="eastAsia" w:ascii="方正仿宋_GBK" w:hAnsi="方正仿宋_GBK" w:eastAsia="方正仿宋_GBK" w:cs="方正仿宋_GBK"/>
          <w:b/>
          <w:sz w:val="24"/>
        </w:rPr>
        <w:t>（二）……</w:t>
      </w:r>
    </w:p>
    <w:p>
      <w:pPr>
        <w:spacing w:line="400" w:lineRule="exact"/>
        <w:rPr>
          <w:rFonts w:hint="eastAsia" w:ascii="方正仿宋_GBK" w:hAnsi="方正仿宋_GBK" w:eastAsia="方正仿宋_GBK" w:cs="方正仿宋_GBK"/>
          <w:b/>
          <w:sz w:val="24"/>
        </w:rPr>
      </w:pPr>
      <w:r>
        <w:rPr>
          <w:rFonts w:hint="eastAsia" w:ascii="方正仿宋_GBK" w:hAnsi="方正仿宋_GBK" w:eastAsia="方正仿宋_GBK" w:cs="方正仿宋_GBK"/>
          <w:b/>
          <w:sz w:val="24"/>
        </w:rPr>
        <w:t>____________________</w:t>
      </w:r>
    </w:p>
    <w:p>
      <w:pPr>
        <w:spacing w:line="4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w:t>
      </w:r>
    </w:p>
    <w:p>
      <w:pPr>
        <w:spacing w:line="400" w:lineRule="exact"/>
        <w:rPr>
          <w:rFonts w:hint="eastAsia" w:ascii="方正仿宋_GBK" w:hAnsi="方正仿宋_GBK" w:eastAsia="方正仿宋_GBK" w:cs="方正仿宋_GBK"/>
          <w:b/>
          <w:sz w:val="24"/>
        </w:rPr>
      </w:pPr>
      <w:r>
        <w:rPr>
          <w:rFonts w:hint="eastAsia" w:ascii="方正仿宋_GBK" w:hAnsi="方正仿宋_GBK" w:eastAsia="方正仿宋_GBK" w:cs="方正仿宋_GBK"/>
          <w:b/>
          <w:sz w:val="24"/>
        </w:rPr>
        <w:t>（N）……</w:t>
      </w:r>
    </w:p>
    <w:p>
      <w:pPr>
        <w:spacing w:line="520" w:lineRule="exact"/>
        <w:rPr>
          <w:rFonts w:hint="eastAsia" w:ascii="方正仿宋_GBK" w:hAnsi="方正仿宋_GBK" w:eastAsia="方正仿宋_GBK" w:cs="方正仿宋_GBK"/>
          <w:sz w:val="28"/>
          <w:szCs w:val="28"/>
          <w:u w:val="single"/>
        </w:rPr>
      </w:pPr>
      <w:r>
        <w:rPr>
          <w:rFonts w:hint="eastAsia" w:ascii="方正仿宋_GBK" w:hAnsi="方正仿宋_GBK" w:eastAsia="方正仿宋_GBK" w:cs="方正仿宋_GBK"/>
          <w:b/>
          <w:sz w:val="24"/>
        </w:rPr>
        <w:t>____________________</w:t>
      </w:r>
    </w:p>
    <w:p>
      <w:pPr>
        <w:rPr>
          <w:rFonts w:hint="eastAsia" w:ascii="方正仿宋_GBK" w:hAnsi="方正仿宋_GBK" w:eastAsia="方正仿宋_GBK" w:cs="方正仿宋_GBK"/>
        </w:rPr>
      </w:pPr>
    </w:p>
    <w:p>
      <w:pPr>
        <w:widowControl/>
        <w:jc w:val="left"/>
        <w:rPr>
          <w:rFonts w:hint="eastAsia" w:ascii="方正仿宋_GBK" w:hAnsi="方正仿宋_GBK" w:eastAsia="方正仿宋_GBK" w:cs="方正仿宋_GBK"/>
          <w:b/>
          <w:color w:val="000000"/>
          <w:sz w:val="44"/>
        </w:rPr>
      </w:pPr>
      <w:r>
        <w:rPr>
          <w:rFonts w:hint="eastAsia" w:ascii="方正仿宋_GBK" w:hAnsi="方正仿宋_GBK" w:eastAsia="方正仿宋_GBK" w:cs="方正仿宋_GBK"/>
          <w:b/>
          <w:color w:val="000000"/>
          <w:sz w:val="44"/>
        </w:rPr>
        <w:br w:type="page"/>
      </w:r>
    </w:p>
    <w:p>
      <w:pPr>
        <w:pStyle w:val="2"/>
        <w:spacing w:line="500" w:lineRule="exact"/>
        <w:jc w:val="center"/>
        <w:rPr>
          <w:rFonts w:hint="eastAsia" w:ascii="方正仿宋_GBK" w:hAnsi="方正仿宋_GBK" w:eastAsia="方正仿宋_GBK" w:cs="方正仿宋_GBK"/>
          <w:bCs/>
          <w:color w:val="000000"/>
          <w:sz w:val="36"/>
          <w:szCs w:val="36"/>
        </w:rPr>
      </w:pPr>
      <w:bookmarkStart w:id="331" w:name="_Toc471310426"/>
      <w:bookmarkStart w:id="332" w:name="_Toc497143791"/>
      <w:bookmarkStart w:id="333" w:name="_Toc30614"/>
      <w:bookmarkStart w:id="334" w:name="_Toc63765815"/>
      <w:bookmarkStart w:id="335" w:name="_Toc20818"/>
      <w:bookmarkStart w:id="336" w:name="_Toc9043"/>
      <w:bookmarkStart w:id="337" w:name="_Toc21730"/>
      <w:bookmarkStart w:id="338" w:name="_Toc30578"/>
      <w:r>
        <w:rPr>
          <w:rFonts w:hint="eastAsia" w:ascii="方正仿宋_GBK" w:hAnsi="方正仿宋_GBK" w:eastAsia="方正仿宋_GBK" w:cs="方正仿宋_GBK"/>
          <w:bCs/>
          <w:color w:val="000000"/>
          <w:sz w:val="36"/>
          <w:szCs w:val="36"/>
        </w:rPr>
        <w:t xml:space="preserve">第六章  </w:t>
      </w:r>
      <w:bookmarkEnd w:id="331"/>
      <w:bookmarkEnd w:id="332"/>
      <w:r>
        <w:rPr>
          <w:rFonts w:hint="eastAsia" w:ascii="方正仿宋_GBK" w:hAnsi="方正仿宋_GBK" w:eastAsia="方正仿宋_GBK" w:cs="方正仿宋_GBK"/>
          <w:bCs/>
          <w:color w:val="000000"/>
          <w:sz w:val="36"/>
          <w:szCs w:val="36"/>
        </w:rPr>
        <w:t>磋商程序和成交标准</w:t>
      </w:r>
      <w:bookmarkEnd w:id="333"/>
      <w:bookmarkEnd w:id="334"/>
      <w:bookmarkEnd w:id="335"/>
      <w:bookmarkEnd w:id="336"/>
      <w:bookmarkEnd w:id="337"/>
      <w:bookmarkEnd w:id="338"/>
    </w:p>
    <w:p>
      <w:pPr>
        <w:pStyle w:val="5"/>
        <w:spacing w:line="500" w:lineRule="exact"/>
        <w:rPr>
          <w:rFonts w:hint="eastAsia" w:ascii="方正仿宋_GBK" w:hAnsi="方正仿宋_GBK" w:eastAsia="方正仿宋_GBK" w:cs="方正仿宋_GBK"/>
        </w:rPr>
      </w:pPr>
      <w:bookmarkStart w:id="339" w:name="_Toc307298483"/>
      <w:bookmarkStart w:id="340" w:name="_Toc439679293"/>
      <w:bookmarkStart w:id="341" w:name="_Toc306711441"/>
      <w:bookmarkStart w:id="342" w:name="_Toc389231767"/>
      <w:bookmarkStart w:id="343" w:name="_Toc389552549"/>
      <w:bookmarkStart w:id="344" w:name="_Toc389231677"/>
      <w:bookmarkStart w:id="345" w:name="_Toc390774317"/>
      <w:bookmarkStart w:id="346" w:name="_Toc315963032"/>
      <w:bookmarkStart w:id="347" w:name="_Toc2634"/>
      <w:bookmarkStart w:id="348" w:name="_Toc63765816"/>
      <w:bookmarkStart w:id="349" w:name="_Toc20105"/>
      <w:bookmarkStart w:id="350" w:name="_Toc4061"/>
      <w:bookmarkStart w:id="351" w:name="_Toc389552551"/>
      <w:bookmarkStart w:id="352" w:name="_Toc217446060"/>
      <w:bookmarkStart w:id="353" w:name="_Toc307298485"/>
      <w:bookmarkStart w:id="354" w:name="_Toc306711443"/>
      <w:bookmarkStart w:id="355" w:name="_Toc389231769"/>
      <w:bookmarkStart w:id="356" w:name="_Toc439679295"/>
      <w:bookmarkStart w:id="357" w:name="_Toc315963034"/>
      <w:bookmarkStart w:id="358" w:name="_Toc390774319"/>
      <w:bookmarkStart w:id="359" w:name="_Toc389231679"/>
      <w:bookmarkStart w:id="360" w:name="_Toc229393392"/>
      <w:bookmarkStart w:id="361" w:name="_Toc256004204"/>
      <w:bookmarkStart w:id="362" w:name="_Toc229476110"/>
      <w:bookmarkStart w:id="363" w:name="_Toc229475781"/>
      <w:bookmarkStart w:id="364" w:name="_Toc229393560"/>
      <w:bookmarkStart w:id="365" w:name="_Toc241204651"/>
      <w:bookmarkStart w:id="366" w:name="_Toc241053690"/>
      <w:bookmarkStart w:id="367" w:name="_Toc229393644"/>
      <w:bookmarkStart w:id="368" w:name="_Toc245097947"/>
      <w:bookmarkStart w:id="369" w:name="_Toc229395229"/>
      <w:bookmarkStart w:id="370" w:name="_Toc240870198"/>
      <w:bookmarkStart w:id="371" w:name="_Toc229395145"/>
      <w:bookmarkStart w:id="372" w:name="_Toc256502558"/>
      <w:r>
        <w:rPr>
          <w:rFonts w:hint="eastAsia" w:ascii="方正仿宋_GBK" w:hAnsi="方正仿宋_GBK" w:eastAsia="方正仿宋_GBK" w:cs="方正仿宋_GBK"/>
        </w:rPr>
        <w:t>一、</w:t>
      </w:r>
      <w:bookmarkEnd w:id="339"/>
      <w:bookmarkEnd w:id="340"/>
      <w:bookmarkEnd w:id="341"/>
      <w:bookmarkEnd w:id="342"/>
      <w:bookmarkEnd w:id="343"/>
      <w:bookmarkEnd w:id="344"/>
      <w:bookmarkEnd w:id="345"/>
      <w:bookmarkEnd w:id="346"/>
      <w:r>
        <w:rPr>
          <w:rFonts w:hint="eastAsia" w:ascii="方正仿宋_GBK" w:hAnsi="方正仿宋_GBK" w:eastAsia="方正仿宋_GBK" w:cs="方正仿宋_GBK"/>
        </w:rPr>
        <w:t>磋商程序</w:t>
      </w:r>
      <w:bookmarkEnd w:id="347"/>
      <w:bookmarkEnd w:id="348"/>
      <w:bookmarkEnd w:id="349"/>
      <w:bookmarkEnd w:id="350"/>
    </w:p>
    <w:p>
      <w:pPr>
        <w:spacing w:line="500" w:lineRule="exact"/>
        <w:ind w:firstLine="560" w:firstLineChars="200"/>
        <w:rPr>
          <w:rFonts w:hint="eastAsia" w:ascii="方正仿宋_GBK" w:hAnsi="方正仿宋_GBK" w:eastAsia="方正仿宋_GBK" w:cs="方正仿宋_GBK"/>
          <w:sz w:val="28"/>
        </w:rPr>
      </w:pPr>
      <w:bookmarkStart w:id="373" w:name="_Toc217446098"/>
      <w:r>
        <w:rPr>
          <w:rFonts w:hint="eastAsia" w:ascii="方正仿宋_GBK" w:hAnsi="方正仿宋_GBK" w:eastAsia="方正仿宋_GBK" w:cs="方正仿宋_GBK"/>
          <w:sz w:val="28"/>
        </w:rPr>
        <w:t>（一）磋商程序依次为：供应商首次提交响应文件→采购组织单位组建磋商小组→磋商小组进行书面审查并出具书面审查报告→磋商小组与供应商逐一磋商→实质性响应的供应商作出最后一轮报价→磋商小组对供应商的响应文件进行评分→磋商小组汇总评审结果并复核→采购组织单位复核→磋商小组推荐成交候选供应商并出具磋商报告→采购人确定成交供应商→</w:t>
      </w:r>
      <w:bookmarkStart w:id="374" w:name="【Bobole_代理机构名称_145】"/>
      <w:r>
        <w:rPr>
          <w:rFonts w:hint="eastAsia" w:ascii="方正仿宋_GBK" w:hAnsi="方正仿宋_GBK" w:eastAsia="方正仿宋_GBK" w:cs="方正仿宋_GBK"/>
          <w:sz w:val="28"/>
        </w:rPr>
        <w:t>四川振嘉工程招标代理有限公司</w:t>
      </w:r>
      <w:bookmarkEnd w:id="374"/>
      <w:r>
        <w:rPr>
          <w:rFonts w:hint="eastAsia" w:ascii="方正仿宋_GBK" w:hAnsi="方正仿宋_GBK" w:eastAsia="方正仿宋_GBK" w:cs="方正仿宋_GBK"/>
          <w:sz w:val="28"/>
        </w:rPr>
        <w:t>发布成交结果公告并同时发出成交通知书。</w:t>
      </w:r>
    </w:p>
    <w:p>
      <w:pPr>
        <w:spacing w:line="500" w:lineRule="exact"/>
        <w:ind w:firstLine="560" w:firstLineChars="200"/>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（二）磋商小组成员应当按照客观、公正、审慎的原则，根据磋商文件规定的评审程序、评审方法和评审标准进行独立评审。</w:t>
      </w:r>
    </w:p>
    <w:p>
      <w:pPr>
        <w:spacing w:line="500" w:lineRule="exact"/>
        <w:ind w:firstLine="560" w:firstLineChars="200"/>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（三）出现下列情形之一的，采购人或者采购代理机构应当终止磋商采购活动，发布项目终止公告并说明原因，重新开展采购活动：</w:t>
      </w:r>
    </w:p>
    <w:p>
      <w:pPr>
        <w:spacing w:line="500" w:lineRule="exact"/>
        <w:ind w:firstLine="560" w:firstLineChars="200"/>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1.因情况变化，不再符合规定的竞争性磋商采购方式适用情形的；</w:t>
      </w:r>
    </w:p>
    <w:p>
      <w:pPr>
        <w:spacing w:line="500" w:lineRule="exact"/>
        <w:ind w:firstLine="560" w:firstLineChars="200"/>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2.出现影响采购公正的违法、违规行为的；</w:t>
      </w:r>
    </w:p>
    <w:p>
      <w:pPr>
        <w:spacing w:line="500" w:lineRule="exact"/>
        <w:ind w:firstLine="560" w:firstLineChars="200"/>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3.在采购过程中符合竞争要求的供应商或者报价未超过最高限价的供应商不足2家的。</w:t>
      </w:r>
    </w:p>
    <w:p>
      <w:pPr>
        <w:spacing w:line="500" w:lineRule="exact"/>
        <w:ind w:firstLine="560" w:firstLineChars="200"/>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（四）磋商过程独立、保密。供应商非法干预磋商过程的，其响应文件作为无效处理。</w:t>
      </w:r>
    </w:p>
    <w:p>
      <w:pPr>
        <w:spacing w:line="500" w:lineRule="exact"/>
        <w:ind w:firstLine="560" w:firstLineChars="200"/>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（五）磋商小组评价响应文件，除磋商小组要求其澄清、说明或者纠正而提供的资料外，仅依据响应文件本身的内容，不寻求供应商提供其他外部证据。</w:t>
      </w:r>
    </w:p>
    <w:p>
      <w:pPr>
        <w:pStyle w:val="5"/>
        <w:spacing w:line="500" w:lineRule="exact"/>
        <w:rPr>
          <w:rFonts w:hint="eastAsia" w:ascii="方正仿宋_GBK" w:hAnsi="方正仿宋_GBK" w:eastAsia="方正仿宋_GBK" w:cs="方正仿宋_GBK"/>
        </w:rPr>
      </w:pPr>
      <w:bookmarkStart w:id="375" w:name="_Toc63765817"/>
      <w:bookmarkStart w:id="376" w:name="_Toc1652"/>
      <w:bookmarkStart w:id="377" w:name="_Toc16815"/>
      <w:bookmarkStart w:id="378" w:name="_Toc24709"/>
      <w:r>
        <w:rPr>
          <w:rFonts w:hint="eastAsia" w:ascii="方正仿宋_GBK" w:hAnsi="方正仿宋_GBK" w:eastAsia="方正仿宋_GBK" w:cs="方正仿宋_GBK"/>
        </w:rPr>
        <w:t>二、成立磋商小组</w:t>
      </w:r>
      <w:bookmarkEnd w:id="375"/>
      <w:bookmarkEnd w:id="376"/>
      <w:bookmarkEnd w:id="377"/>
      <w:bookmarkEnd w:id="378"/>
    </w:p>
    <w:p>
      <w:pPr>
        <w:spacing w:line="500" w:lineRule="exact"/>
        <w:ind w:firstLine="560" w:firstLineChars="200"/>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（一）采购组织单位组建磋商小组。</w:t>
      </w:r>
    </w:p>
    <w:p>
      <w:pPr>
        <w:spacing w:line="500" w:lineRule="exact"/>
        <w:ind w:firstLine="560" w:firstLineChars="200"/>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（二）磋商小组成员中专家的产生应当按照四川省政府采购评审专家抽取的有关规定执行。</w:t>
      </w:r>
    </w:p>
    <w:p>
      <w:pPr>
        <w:spacing w:line="500" w:lineRule="exact"/>
        <w:ind w:firstLine="560" w:firstLineChars="200"/>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（三）磋商小组成员中的采购人代表应当由采购人书面委托。委托评审专家担任的，评审专家只能以采购人代表身份参加采购活动。</w:t>
      </w:r>
    </w:p>
    <w:p>
      <w:pPr>
        <w:spacing w:line="500" w:lineRule="exact"/>
        <w:ind w:firstLine="560" w:firstLineChars="200"/>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（四）磋商小组成员确定后，不能擅自变更。确需变更的，应当按照本条第（二）（三）款执行。</w:t>
      </w:r>
    </w:p>
    <w:p>
      <w:pPr>
        <w:pStyle w:val="5"/>
        <w:spacing w:line="500" w:lineRule="exact"/>
        <w:rPr>
          <w:rFonts w:hint="eastAsia" w:ascii="方正仿宋_GBK" w:hAnsi="方正仿宋_GBK" w:eastAsia="方正仿宋_GBK" w:cs="方正仿宋_GBK"/>
        </w:rPr>
      </w:pPr>
      <w:bookmarkStart w:id="379" w:name="_Toc63765818"/>
      <w:bookmarkStart w:id="380" w:name="_Toc14740"/>
      <w:bookmarkStart w:id="381" w:name="_Toc15117"/>
      <w:bookmarkStart w:id="382" w:name="_Toc24943"/>
      <w:r>
        <w:rPr>
          <w:rFonts w:hint="eastAsia" w:ascii="方正仿宋_GBK" w:hAnsi="方正仿宋_GBK" w:eastAsia="方正仿宋_GBK" w:cs="方正仿宋_GBK"/>
        </w:rPr>
        <w:t>三、熟悉磋商文件</w:t>
      </w:r>
      <w:bookmarkEnd w:id="379"/>
      <w:bookmarkEnd w:id="380"/>
      <w:bookmarkEnd w:id="381"/>
      <w:bookmarkEnd w:id="382"/>
    </w:p>
    <w:p>
      <w:pPr>
        <w:spacing w:line="500" w:lineRule="exact"/>
        <w:ind w:firstLine="560" w:firstLineChars="200"/>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（一）磋商小组应当对磋商文件进行熟悉和理解。</w:t>
      </w:r>
    </w:p>
    <w:p>
      <w:pPr>
        <w:spacing w:line="500" w:lineRule="exact"/>
        <w:ind w:firstLine="560" w:firstLineChars="200"/>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（二）本磋商文件有下列情形之一的，磋商小组应当停止评审：</w:t>
      </w:r>
    </w:p>
    <w:p>
      <w:pPr>
        <w:spacing w:line="500" w:lineRule="exact"/>
        <w:ind w:firstLine="560" w:firstLineChars="200"/>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1.磋商文件的规定存在歧义、重大缺陷的；</w:t>
      </w:r>
    </w:p>
    <w:p>
      <w:pPr>
        <w:spacing w:line="500" w:lineRule="exact"/>
        <w:ind w:firstLine="560" w:firstLineChars="200"/>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2.磋商文件明显以不合理条件对供应商实行差别待遇或者歧视待遇的；</w:t>
      </w:r>
    </w:p>
    <w:p>
      <w:pPr>
        <w:spacing w:line="500" w:lineRule="exact"/>
        <w:ind w:firstLine="560" w:firstLineChars="200"/>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3.采购项目属于国家规定的优先、强制采购范围，但是磋商文件未依法体现优先、强制采购相关规定的；</w:t>
      </w:r>
    </w:p>
    <w:p>
      <w:pPr>
        <w:spacing w:line="500" w:lineRule="exact"/>
        <w:ind w:firstLine="560" w:firstLineChars="200"/>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4.采购项目属于政府采购促进中小企业发展的范围，但是磋商文件未依法体现促进中小企业发展相关规定的；</w:t>
      </w:r>
    </w:p>
    <w:p>
      <w:pPr>
        <w:spacing w:line="500" w:lineRule="exact"/>
        <w:ind w:firstLine="560" w:firstLineChars="200"/>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5.磋商文件载明的成交原则不合法的；</w:t>
      </w:r>
    </w:p>
    <w:p>
      <w:pPr>
        <w:spacing w:line="500" w:lineRule="exact"/>
        <w:ind w:firstLine="560" w:firstLineChars="200"/>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6.磋商文件有违反国家其他有关强制性规定的情形。</w:t>
      </w:r>
    </w:p>
    <w:p>
      <w:pPr>
        <w:spacing w:line="500" w:lineRule="exact"/>
        <w:ind w:firstLine="560" w:firstLineChars="200"/>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（三）出现上款规定应当停止评审情形的，磋商小组应当向采购人书面说明情况。除规定情形外，磋商小组不得以任何方式和理由停止评审。</w:t>
      </w:r>
    </w:p>
    <w:p>
      <w:pPr>
        <w:pStyle w:val="5"/>
        <w:spacing w:line="500" w:lineRule="exact"/>
        <w:rPr>
          <w:rFonts w:hint="eastAsia" w:ascii="方正仿宋_GBK" w:hAnsi="方正仿宋_GBK" w:eastAsia="方正仿宋_GBK" w:cs="方正仿宋_GBK"/>
        </w:rPr>
      </w:pPr>
      <w:bookmarkStart w:id="383" w:name="_Toc63765819"/>
      <w:bookmarkStart w:id="384" w:name="_Toc7180"/>
      <w:bookmarkStart w:id="385" w:name="_Toc23796"/>
      <w:bookmarkStart w:id="386" w:name="_Toc24318"/>
      <w:r>
        <w:rPr>
          <w:rFonts w:hint="eastAsia" w:ascii="方正仿宋_GBK" w:hAnsi="方正仿宋_GBK" w:eastAsia="方正仿宋_GBK" w:cs="方正仿宋_GBK"/>
        </w:rPr>
        <w:t>四、书面审查</w:t>
      </w:r>
      <w:bookmarkEnd w:id="383"/>
      <w:bookmarkEnd w:id="384"/>
      <w:bookmarkEnd w:id="385"/>
      <w:bookmarkEnd w:id="386"/>
    </w:p>
    <w:p>
      <w:pPr>
        <w:spacing w:line="500" w:lineRule="exact"/>
        <w:ind w:firstLine="560" w:firstLineChars="200"/>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（一）磋商小组开启响应文件，对供应商进行书面审查。书面审查包括资格审查和除资格部分外的响应性审查。资格审查时，磋商小组需结合采购人关于信用信息和政府强制采购节能产品的查询结果开展工作。</w:t>
      </w:r>
    </w:p>
    <w:p>
      <w:pPr>
        <w:spacing w:line="500" w:lineRule="exact"/>
        <w:ind w:firstLine="560" w:firstLineChars="200"/>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（二）磋商小组应结合响应文件接收记录核验提交响应文件有关人员的身份信息。身份核验不一致的，作资格审查不通过处理。</w:t>
      </w:r>
    </w:p>
    <w:p>
      <w:pPr>
        <w:spacing w:line="500" w:lineRule="exact"/>
        <w:ind w:firstLine="560" w:firstLineChars="200"/>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（三）磋商小组关于供应商书面审查的范围不能超过磋商文件的规定。</w:t>
      </w:r>
    </w:p>
    <w:p>
      <w:pPr>
        <w:spacing w:line="500" w:lineRule="exact"/>
        <w:ind w:firstLine="560" w:firstLineChars="200"/>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四）书面审查结束后，磋商小组应当向采购组织单位出具书面审查报告。书面审查报告包括资格审查报告和除资格部分外的响应性审查报告。磋商小组应在书面审查报告中载明未通过审查的供应商名单及其理由。</w:t>
      </w:r>
    </w:p>
    <w:p>
      <w:pPr>
        <w:spacing w:line="500" w:lineRule="exact"/>
        <w:ind w:firstLine="560" w:firstLineChars="200"/>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五）磋商小组成员应当在书面审查报告中签字确认，对书面审查过程和结果有不同意见的，应当在书面审查报告中写明并说明理由。签字但不写明不同意见或者不说明理由的，视同无意见。不签字的，不影响书面审查报告的有效性。</w:t>
      </w:r>
    </w:p>
    <w:p>
      <w:pPr>
        <w:spacing w:line="500" w:lineRule="exact"/>
        <w:ind w:firstLine="560" w:firstLineChars="200"/>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（六）磋商小组出具书面审查报告后，</w:t>
      </w:r>
      <w:bookmarkStart w:id="387" w:name="【Bobole_代理机构名称_146】"/>
      <w:r>
        <w:rPr>
          <w:rFonts w:hint="eastAsia" w:ascii="方正仿宋_GBK" w:hAnsi="方正仿宋_GBK" w:eastAsia="方正仿宋_GBK" w:cs="方正仿宋_GBK"/>
          <w:sz w:val="28"/>
        </w:rPr>
        <w:t>四川振嘉工程招标代理有限公司</w:t>
      </w:r>
      <w:bookmarkEnd w:id="387"/>
      <w:r>
        <w:rPr>
          <w:rFonts w:hint="eastAsia" w:ascii="方正仿宋_GBK" w:hAnsi="方正仿宋_GBK" w:eastAsia="方正仿宋_GBK" w:cs="方正仿宋_GBK"/>
          <w:sz w:val="28"/>
        </w:rPr>
        <w:t>应当将通过审查和未通过审查的供应商名单向所有提交响应文件的供应商当场宣布。</w:t>
      </w:r>
      <w:bookmarkStart w:id="388" w:name="【Bobole_代理机构名称_147】"/>
      <w:r>
        <w:rPr>
          <w:rFonts w:hint="eastAsia" w:ascii="方正仿宋_GBK" w:hAnsi="方正仿宋_GBK" w:eastAsia="方正仿宋_GBK" w:cs="方正仿宋_GBK"/>
          <w:sz w:val="28"/>
        </w:rPr>
        <w:t>四川振嘉工程招标代理有限公司</w:t>
      </w:r>
      <w:bookmarkEnd w:id="388"/>
      <w:r>
        <w:rPr>
          <w:rFonts w:hint="eastAsia" w:ascii="方正仿宋_GBK" w:hAnsi="方正仿宋_GBK" w:eastAsia="方正仿宋_GBK" w:cs="方正仿宋_GBK"/>
          <w:sz w:val="28"/>
        </w:rPr>
        <w:t>宣布未通过审查的供应商名单时，应当告知供应商未通过审查的原因。</w:t>
      </w:r>
    </w:p>
    <w:p>
      <w:pPr>
        <w:pStyle w:val="5"/>
        <w:spacing w:line="500" w:lineRule="exact"/>
        <w:rPr>
          <w:rFonts w:hint="eastAsia" w:ascii="方正仿宋_GBK" w:hAnsi="方正仿宋_GBK" w:eastAsia="方正仿宋_GBK" w:cs="方正仿宋_GBK"/>
        </w:rPr>
      </w:pPr>
      <w:bookmarkStart w:id="389" w:name="_Toc26888"/>
      <w:bookmarkStart w:id="390" w:name="_Toc63765820"/>
      <w:bookmarkStart w:id="391" w:name="_Toc31206"/>
      <w:bookmarkStart w:id="392" w:name="_Toc6815"/>
      <w:r>
        <w:rPr>
          <w:rFonts w:hint="eastAsia" w:ascii="方正仿宋_GBK" w:hAnsi="方正仿宋_GBK" w:eastAsia="方正仿宋_GBK" w:cs="方正仿宋_GBK"/>
        </w:rPr>
        <w:t>五、磋商</w:t>
      </w:r>
      <w:bookmarkEnd w:id="389"/>
      <w:bookmarkEnd w:id="390"/>
      <w:bookmarkEnd w:id="391"/>
      <w:bookmarkEnd w:id="392"/>
    </w:p>
    <w:p>
      <w:pPr>
        <w:spacing w:line="500" w:lineRule="exact"/>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（一）磋商顺序</w:t>
      </w:r>
    </w:p>
    <w:p>
      <w:pPr>
        <w:spacing w:line="500" w:lineRule="exact"/>
        <w:ind w:firstLine="560" w:firstLineChars="200"/>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磋商小组与通过书面审查的供应商分别进行磋商。磋商的顺序以现场抽签或者其他能够给予供应商平等机会的方式确定。</w:t>
      </w:r>
    </w:p>
    <w:p>
      <w:pPr>
        <w:spacing w:line="500" w:lineRule="exact"/>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（二）磋商内容</w:t>
      </w:r>
    </w:p>
    <w:p>
      <w:pPr>
        <w:spacing w:line="500" w:lineRule="exact"/>
        <w:ind w:firstLine="560" w:firstLineChars="200"/>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1.本项目所涉及的需求、质量、服务、合同草案条款等作为磋商内容。</w:t>
      </w:r>
    </w:p>
    <w:p>
      <w:pPr>
        <w:spacing w:line="500" w:lineRule="exact"/>
        <w:ind w:firstLine="560" w:firstLineChars="200"/>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2.除必须满足的技术要求外，供应商可在磋商过程中对本项目的技术参数和方案提出优化建议。</w:t>
      </w:r>
    </w:p>
    <w:p>
      <w:pPr>
        <w:spacing w:line="500" w:lineRule="exact"/>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（三）变动磋商文件</w:t>
      </w:r>
    </w:p>
    <w:p>
      <w:pPr>
        <w:spacing w:line="500" w:lineRule="exact"/>
        <w:ind w:firstLine="560" w:firstLineChars="200"/>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1.磋商小组可以根据磋商文件和磋商情况实质性变动采购需求中的技术、服务要求以及合同草案条款，但磋商文件注明不可变动的特定内容除外。实质性变动的内容，须经采购人代表确认。</w:t>
      </w:r>
    </w:p>
    <w:p>
      <w:pPr>
        <w:spacing w:line="500" w:lineRule="exact"/>
        <w:ind w:firstLine="560" w:firstLineChars="200"/>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2.磋商小组变动磋商文件的，应当将变动的内容书面通知所有参加磋商的供应商，做好书面记录，同时应当要求供应商就变动的部分重新提交响应文件，并给予供应商重新提交响应文件的合理时间。</w:t>
      </w:r>
    </w:p>
    <w:p>
      <w:pPr>
        <w:spacing w:line="500" w:lineRule="exact"/>
        <w:ind w:firstLine="560" w:firstLineChars="200"/>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3.磋商小组可以根据磋商情况调整磋商轮次和报价轮次。</w:t>
      </w:r>
    </w:p>
    <w:p>
      <w:pPr>
        <w:spacing w:line="500" w:lineRule="exact"/>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（四）重新提交响应文件</w:t>
      </w:r>
    </w:p>
    <w:p>
      <w:pPr>
        <w:spacing w:line="500" w:lineRule="exact"/>
        <w:ind w:firstLine="560" w:firstLineChars="200"/>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1.磋商文件发生实质性变动的，供应商应当按照磋商文件的变动情况和磋商小组的要求重新提交响应文件；磋商文件未变动的，磋商小组不能要求供应商重新提交响应文件，供应商重新提交响应文件的也不予接收。</w:t>
      </w:r>
    </w:p>
    <w:p>
      <w:pPr>
        <w:spacing w:line="500" w:lineRule="exact"/>
        <w:ind w:firstLine="560" w:firstLineChars="200"/>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2. 磋商文件发生实质性变动的，由专家在评审系统发起实质性变更，供应商在</w:t>
      </w:r>
      <w:r>
        <w:rPr>
          <w:rFonts w:hint="eastAsia" w:ascii="方正仿宋_GBK" w:hAnsi="方正仿宋_GBK" w:eastAsia="方正仿宋_GBK" w:cs="方正仿宋_GBK"/>
          <w:sz w:val="28"/>
          <w:lang w:eastAsia="zh-CN"/>
        </w:rPr>
        <w:t>巴中</w:t>
      </w:r>
      <w:r>
        <w:rPr>
          <w:rFonts w:hint="eastAsia" w:ascii="方正仿宋_GBK" w:hAnsi="方正仿宋_GBK" w:eastAsia="方正仿宋_GBK" w:cs="方正仿宋_GBK"/>
          <w:sz w:val="28"/>
        </w:rPr>
        <w:t>市电子化政府采购系统中在线提交实质性变更响应文件。</w:t>
      </w:r>
    </w:p>
    <w:p>
      <w:pPr>
        <w:spacing w:line="500" w:lineRule="exact"/>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（五）淘汰供应商</w:t>
      </w:r>
    </w:p>
    <w:p>
      <w:pPr>
        <w:spacing w:line="500" w:lineRule="exact"/>
        <w:ind w:firstLine="560" w:firstLineChars="200"/>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磋商结束后，供应商响应文件仍未实质性响应磋商文件的，或者磋商过程中，磋商小组发现或者知晓供应商存在违法、违规行为的，磋商小组应当对其响应文件按无效处理，并书面告知供应商，说明理由。</w:t>
      </w:r>
    </w:p>
    <w:p>
      <w:pPr>
        <w:pStyle w:val="5"/>
        <w:spacing w:line="500" w:lineRule="exact"/>
        <w:rPr>
          <w:rFonts w:hint="eastAsia" w:ascii="方正仿宋_GBK" w:hAnsi="方正仿宋_GBK" w:eastAsia="方正仿宋_GBK" w:cs="方正仿宋_GBK"/>
        </w:rPr>
      </w:pPr>
      <w:bookmarkStart w:id="393" w:name="_Toc63765821"/>
      <w:bookmarkStart w:id="394" w:name="_Toc11545"/>
      <w:bookmarkStart w:id="395" w:name="_Toc21775"/>
      <w:bookmarkStart w:id="396" w:name="_Toc27458"/>
      <w:r>
        <w:rPr>
          <w:rFonts w:hint="eastAsia" w:ascii="方正仿宋_GBK" w:hAnsi="方正仿宋_GBK" w:eastAsia="方正仿宋_GBK" w:cs="方正仿宋_GBK"/>
        </w:rPr>
        <w:t>六、多轮报价</w:t>
      </w:r>
      <w:bookmarkEnd w:id="393"/>
      <w:bookmarkEnd w:id="394"/>
      <w:bookmarkEnd w:id="395"/>
      <w:bookmarkEnd w:id="396"/>
    </w:p>
    <w:p>
      <w:pPr>
        <w:spacing w:line="500" w:lineRule="exact"/>
        <w:ind w:firstLine="560" w:firstLineChars="200"/>
        <w:rPr>
          <w:rFonts w:hint="eastAsia" w:ascii="方正仿宋_GBK" w:hAnsi="方正仿宋_GBK" w:eastAsia="方正仿宋_GBK" w:cs="方正仿宋_GBK"/>
          <w:sz w:val="28"/>
          <w:szCs w:val="28"/>
        </w:rPr>
      </w:pPr>
      <w:bookmarkStart w:id="397" w:name="_Hlk59013878"/>
      <w:r>
        <w:rPr>
          <w:rFonts w:hint="eastAsia" w:ascii="方正仿宋_GBK" w:hAnsi="方正仿宋_GBK" w:eastAsia="方正仿宋_GBK" w:cs="方正仿宋_GBK"/>
          <w:sz w:val="28"/>
          <w:szCs w:val="28"/>
        </w:rPr>
        <w:t>（一）磋商结束后，</w:t>
      </w:r>
      <w:r>
        <w:rPr>
          <w:rFonts w:hint="eastAsia" w:ascii="方正仿宋_GBK" w:hAnsi="方正仿宋_GBK" w:eastAsia="方正仿宋_GBK" w:cs="方正仿宋_GBK"/>
          <w:sz w:val="28"/>
          <w:szCs w:val="28"/>
          <w:lang w:eastAsia="zh-CN"/>
        </w:rPr>
        <w:t>磋商</w:t>
      </w:r>
      <w:r>
        <w:rPr>
          <w:rFonts w:hint="eastAsia" w:ascii="方正仿宋_GBK" w:hAnsi="方正仿宋_GBK" w:eastAsia="方正仿宋_GBK" w:cs="方正仿宋_GBK"/>
          <w:sz w:val="28"/>
          <w:szCs w:val="28"/>
        </w:rPr>
        <w:t>小组应当要求所有实质性响应的供应商在规定时间内进行最后报价或者多轮报价后再最后报价。</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（二）上款所述的“规定时间”由</w:t>
      </w:r>
      <w:r>
        <w:rPr>
          <w:rFonts w:hint="eastAsia" w:ascii="方正仿宋_GBK" w:hAnsi="方正仿宋_GBK" w:eastAsia="方正仿宋_GBK" w:cs="方正仿宋_GBK"/>
          <w:sz w:val="28"/>
          <w:szCs w:val="28"/>
          <w:lang w:eastAsia="zh-CN"/>
        </w:rPr>
        <w:t>磋商</w:t>
      </w:r>
      <w:r>
        <w:rPr>
          <w:rFonts w:hint="eastAsia" w:ascii="方正仿宋_GBK" w:hAnsi="方正仿宋_GBK" w:eastAsia="方正仿宋_GBK" w:cs="方正仿宋_GBK"/>
          <w:sz w:val="28"/>
          <w:szCs w:val="28"/>
        </w:rPr>
        <w:t>小组结合实际确定，通过采购组织单位向供应商传达。</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（三）两轮以上报价的，供应商在未提高响应文件中承诺的产品及其服务质量的情况下，其最后报价不得高于对该项目之前的报价，否则，磋商小组应当对其响应文件按无效处理，并书面告知供应商，说明理由。</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（四）磋商后的报价，由供应商通过系统提供的报价工具中填写，以数字证书签章后加密导出XXX.BJL文件上传至系统，并在上述“规定时间”预授权系统解密。</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（五）磋商小组在所有供应商完成预授权系统解密后统一解密报价文件。供应商未上传报价文件或未预授权系统解密的，视为其未作出报价</w:t>
      </w:r>
      <w:bookmarkEnd w:id="397"/>
      <w:r>
        <w:rPr>
          <w:rFonts w:hint="eastAsia" w:ascii="方正仿宋_GBK" w:hAnsi="方正仿宋_GBK" w:eastAsia="方正仿宋_GBK" w:cs="方正仿宋_GBK"/>
          <w:sz w:val="28"/>
          <w:szCs w:val="28"/>
        </w:rPr>
        <w:t>。</w:t>
      </w:r>
    </w:p>
    <w:p>
      <w:pPr>
        <w:pStyle w:val="5"/>
        <w:spacing w:line="500" w:lineRule="exact"/>
        <w:rPr>
          <w:rFonts w:hint="eastAsia" w:ascii="方正仿宋_GBK" w:hAnsi="方正仿宋_GBK" w:eastAsia="方正仿宋_GBK" w:cs="方正仿宋_GBK"/>
        </w:rPr>
      </w:pPr>
      <w:bookmarkStart w:id="398" w:name="_Toc63765822"/>
      <w:bookmarkStart w:id="399" w:name="_Toc1868"/>
      <w:bookmarkStart w:id="400" w:name="_Toc16328"/>
      <w:bookmarkStart w:id="401" w:name="_Toc19825"/>
      <w:r>
        <w:rPr>
          <w:rFonts w:hint="eastAsia" w:ascii="方正仿宋_GBK" w:hAnsi="方正仿宋_GBK" w:eastAsia="方正仿宋_GBK" w:cs="方正仿宋_GBK"/>
        </w:rPr>
        <w:t>七、比较与评价</w:t>
      </w:r>
      <w:bookmarkEnd w:id="398"/>
      <w:bookmarkEnd w:id="399"/>
      <w:bookmarkEnd w:id="400"/>
      <w:bookmarkEnd w:id="401"/>
    </w:p>
    <w:bookmarkEnd w:id="351"/>
    <w:bookmarkEnd w:id="352"/>
    <w:bookmarkEnd w:id="353"/>
    <w:bookmarkEnd w:id="354"/>
    <w:bookmarkEnd w:id="355"/>
    <w:bookmarkEnd w:id="356"/>
    <w:bookmarkEnd w:id="357"/>
    <w:bookmarkEnd w:id="358"/>
    <w:bookmarkEnd w:id="359"/>
    <w:bookmarkEnd w:id="373"/>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（一）磋商小组对各供应商报价部分评分时，应按照磋商文件第二章有关“落实政府采购政策进行价格扣除和加成的方法”和“低于成本价不正当竞争预防措施”的规定对供应商报价进行调整和汇总。</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（二）磋商小组成员应当根据自身专业情况对每个有效供应商的响应文件进行独立评分</w:t>
      </w:r>
      <w:r>
        <w:rPr>
          <w:rFonts w:hint="eastAsia" w:ascii="方正仿宋_GBK" w:hAnsi="方正仿宋_GBK" w:eastAsia="方正仿宋_GBK" w:cs="方正仿宋_GBK"/>
          <w:color w:val="000000" w:themeColor="text1"/>
          <w:sz w:val="28"/>
          <w:szCs w:val="28"/>
          <w14:textFill>
            <w14:solidFill>
              <w14:schemeClr w14:val="tx1"/>
            </w14:solidFill>
          </w14:textFill>
        </w:rPr>
        <w:t>，加权汇总每项评审因素的</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平均得分</w:t>
      </w:r>
      <w:r>
        <w:rPr>
          <w:rFonts w:hint="eastAsia" w:ascii="方正仿宋_GBK" w:hAnsi="方正仿宋_GBK" w:eastAsia="方正仿宋_GBK" w:cs="方正仿宋_GBK"/>
          <w:color w:val="000000" w:themeColor="text1"/>
          <w:sz w:val="28"/>
          <w:szCs w:val="28"/>
          <w14:textFill>
            <w14:solidFill>
              <w14:schemeClr w14:val="tx1"/>
            </w14:solidFill>
          </w14:textFill>
        </w:rPr>
        <w:t>，得出每个有效供应商的总分。技</w:t>
      </w:r>
      <w:r>
        <w:rPr>
          <w:rFonts w:hint="eastAsia" w:ascii="方正仿宋_GBK" w:hAnsi="方正仿宋_GBK" w:eastAsia="方正仿宋_GBK" w:cs="方正仿宋_GBK"/>
          <w:sz w:val="28"/>
          <w:szCs w:val="28"/>
        </w:rPr>
        <w:t>术类评审因素由技术方面磋商小组成员独立评分；经济类评审因素由经济方面磋商小组成员独立评分；政策合同类的评审因素由法律方面磋商小组成员独立评分；采购人代表原则上对技术类评审因素独立评分；价格和其他不能明确区分的评审因素由磋商小组成员共同评分。</w:t>
      </w:r>
    </w:p>
    <w:p>
      <w:pPr>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（三）磋商小组按照如下标准，对提交最后报价的磋商响应进行综合比较与评价。</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pct"/>
            <w:shd w:val="clear" w:color="auto" w:fill="FFFFFF"/>
            <w:vAlign w:val="center"/>
          </w:tcPr>
          <w:p>
            <w:pPr>
              <w:spacing w:line="500" w:lineRule="exact"/>
              <w:rPr>
                <w:rFonts w:hint="eastAsia" w:ascii="方正仿宋_GBK" w:hAnsi="方正仿宋_GBK" w:eastAsia="仿宋" w:cs="方正仿宋_GBK"/>
                <w:b w:val="0"/>
                <w:sz w:val="24"/>
                <w:szCs w:val="28"/>
              </w:rPr>
            </w:pPr>
            <w:bookmarkStart w:id="402" w:name="【Bobole_评分表】"/>
            <w:r>
              <w:rPr>
                <w:rFonts w:hint="eastAsia" w:ascii="方正仿宋_GBK" w:hAnsi="方正仿宋_GBK" w:eastAsia="仿宋" w:cs="方正仿宋_GBK"/>
                <w:b w:val="0"/>
                <w:sz w:val="24"/>
                <w:szCs w:val="28"/>
              </w:rPr>
              <w:t xml:space="preserve"> </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5"/>
              <w:gridCol w:w="1383"/>
              <w:gridCol w:w="2765"/>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FFFFFF"/>
                  <w:vAlign w:val="center"/>
                </w:tcPr>
                <w:p>
                  <w:pPr>
                    <w:spacing w:line="500" w:lineRule="exact"/>
                    <w:jc w:val="center"/>
                    <w:rPr>
                      <w:rFonts w:hint="eastAsia" w:ascii="方正仿宋_GBK" w:hAnsi="方正仿宋_GBK" w:eastAsia="仿宋" w:cs="方正仿宋_GBK"/>
                      <w:b/>
                      <w:sz w:val="24"/>
                      <w:szCs w:val="28"/>
                    </w:rPr>
                  </w:pPr>
                  <w:r>
                    <w:rPr>
                      <w:rFonts w:hint="eastAsia" w:ascii="方正仿宋_GBK" w:hAnsi="方正仿宋_GBK" w:eastAsia="仿宋" w:cs="方正仿宋_GBK"/>
                      <w:b/>
                      <w:sz w:val="24"/>
                      <w:szCs w:val="28"/>
                    </w:rPr>
                    <w:t>评审因素</w:t>
                  </w:r>
                </w:p>
              </w:tc>
              <w:tc>
                <w:tcPr>
                  <w:tcW w:w="100" w:type="pct"/>
                  <w:shd w:val="clear" w:color="auto" w:fill="FFFFFF"/>
                  <w:vAlign w:val="center"/>
                </w:tcPr>
                <w:p>
                  <w:pPr>
                    <w:spacing w:line="500" w:lineRule="exact"/>
                    <w:jc w:val="center"/>
                    <w:rPr>
                      <w:rFonts w:hint="eastAsia" w:ascii="方正仿宋_GBK" w:hAnsi="方正仿宋_GBK" w:eastAsia="仿宋" w:cs="方正仿宋_GBK"/>
                      <w:b/>
                      <w:sz w:val="24"/>
                      <w:szCs w:val="28"/>
                    </w:rPr>
                  </w:pPr>
                  <w:r>
                    <w:rPr>
                      <w:rFonts w:hint="eastAsia" w:ascii="方正仿宋_GBK" w:hAnsi="方正仿宋_GBK" w:eastAsia="仿宋" w:cs="方正仿宋_GBK"/>
                      <w:b/>
                      <w:sz w:val="24"/>
                      <w:szCs w:val="28"/>
                    </w:rPr>
                    <w:t>分值</w:t>
                  </w:r>
                </w:p>
              </w:tc>
              <w:tc>
                <w:tcPr>
                  <w:tcW w:w="200" w:type="pct"/>
                  <w:shd w:val="clear" w:color="auto" w:fill="FFFFFF"/>
                  <w:vAlign w:val="center"/>
                </w:tcPr>
                <w:p>
                  <w:pPr>
                    <w:spacing w:line="500" w:lineRule="exact"/>
                    <w:jc w:val="center"/>
                    <w:rPr>
                      <w:rFonts w:hint="eastAsia" w:ascii="方正仿宋_GBK" w:hAnsi="方正仿宋_GBK" w:eastAsia="仿宋" w:cs="方正仿宋_GBK"/>
                      <w:b/>
                      <w:sz w:val="24"/>
                      <w:szCs w:val="28"/>
                    </w:rPr>
                  </w:pPr>
                  <w:r>
                    <w:rPr>
                      <w:rFonts w:hint="eastAsia" w:ascii="方正仿宋_GBK" w:hAnsi="方正仿宋_GBK" w:eastAsia="仿宋" w:cs="方正仿宋_GBK"/>
                      <w:b/>
                      <w:sz w:val="24"/>
                      <w:szCs w:val="28"/>
                    </w:rPr>
                    <w:t>评分标准</w:t>
                  </w:r>
                </w:p>
              </w:tc>
              <w:tc>
                <w:tcPr>
                  <w:tcW w:w="100" w:type="pct"/>
                  <w:shd w:val="clear" w:color="auto" w:fill="FFFFFF"/>
                  <w:vAlign w:val="center"/>
                </w:tcPr>
                <w:p>
                  <w:pPr>
                    <w:spacing w:line="500" w:lineRule="exact"/>
                    <w:jc w:val="center"/>
                    <w:rPr>
                      <w:rFonts w:hint="eastAsia" w:ascii="方正仿宋_GBK" w:hAnsi="方正仿宋_GBK" w:eastAsia="仿宋" w:cs="方正仿宋_GBK"/>
                      <w:b w:val="0"/>
                      <w:sz w:val="24"/>
                      <w:szCs w:val="28"/>
                    </w:rPr>
                  </w:pPr>
                  <w:r>
                    <w:rPr>
                      <w:rFonts w:hint="eastAsia" w:ascii="方正仿宋_GBK" w:hAnsi="方正仿宋_GBK" w:eastAsia="仿宋" w:cs="方正仿宋_GBK"/>
                      <w:b/>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FFFFFF"/>
                  <w:vAlign w:val="center"/>
                </w:tcPr>
                <w:p>
                  <w:pPr>
                    <w:spacing w:line="500" w:lineRule="exact"/>
                    <w:jc w:val="center"/>
                    <w:rPr>
                      <w:rFonts w:hint="eastAsia" w:ascii="方正仿宋_GBK" w:hAnsi="方正仿宋_GBK" w:eastAsia="仿宋" w:cs="方正仿宋_GBK"/>
                      <w:b w:val="0"/>
                      <w:sz w:val="24"/>
                      <w:szCs w:val="28"/>
                    </w:rPr>
                  </w:pPr>
                  <w:r>
                    <w:rPr>
                      <w:rFonts w:hint="eastAsia" w:ascii="方正仿宋_GBK" w:hAnsi="方正仿宋_GBK" w:eastAsia="仿宋" w:cs="方正仿宋_GBK"/>
                      <w:b w:val="0"/>
                      <w:sz w:val="24"/>
                      <w:szCs w:val="28"/>
                    </w:rPr>
                    <w:t>报价</w:t>
                  </w:r>
                </w:p>
              </w:tc>
              <w:tc>
                <w:tcPr>
                  <w:tcW w:w="100" w:type="pct"/>
                  <w:shd w:val="clear" w:color="auto" w:fill="FFFFFF"/>
                  <w:vAlign w:val="center"/>
                </w:tcPr>
                <w:p>
                  <w:pPr>
                    <w:spacing w:line="500" w:lineRule="exact"/>
                    <w:jc w:val="center"/>
                    <w:rPr>
                      <w:rFonts w:hint="eastAsia" w:ascii="方正仿宋_GBK" w:hAnsi="方正仿宋_GBK" w:eastAsia="仿宋" w:cs="方正仿宋_GBK"/>
                      <w:b w:val="0"/>
                      <w:sz w:val="24"/>
                      <w:szCs w:val="28"/>
                    </w:rPr>
                  </w:pPr>
                  <w:r>
                    <w:rPr>
                      <w:rFonts w:hint="eastAsia" w:ascii="方正仿宋_GBK" w:hAnsi="方正仿宋_GBK" w:eastAsia="仿宋" w:cs="方正仿宋_GBK"/>
                      <w:b w:val="0"/>
                      <w:sz w:val="24"/>
                      <w:szCs w:val="28"/>
                    </w:rPr>
                    <w:t>10</w:t>
                  </w:r>
                </w:p>
              </w:tc>
              <w:tc>
                <w:tcPr>
                  <w:tcW w:w="200" w:type="pct"/>
                  <w:shd w:val="clear" w:color="auto" w:fill="FFFFFF"/>
                  <w:vAlign w:val="center"/>
                </w:tcPr>
                <w:p>
                  <w:pPr>
                    <w:spacing w:line="500" w:lineRule="exact"/>
                    <w:jc w:val="center"/>
                    <w:rPr>
                      <w:rFonts w:hint="eastAsia" w:ascii="方正仿宋_GBK" w:hAnsi="方正仿宋_GBK" w:eastAsia="仿宋" w:cs="方正仿宋_GBK"/>
                      <w:b w:val="0"/>
                      <w:sz w:val="24"/>
                      <w:szCs w:val="28"/>
                    </w:rPr>
                  </w:pPr>
                  <w:r>
                    <w:rPr>
                      <w:rFonts w:hint="eastAsia" w:ascii="方正仿宋_GBK" w:hAnsi="方正仿宋_GBK" w:eastAsia="仿宋" w:cs="方正仿宋_GBK"/>
                      <w:b w:val="0"/>
                      <w:sz w:val="24"/>
                      <w:szCs w:val="28"/>
                    </w:rPr>
                    <w:t xml:space="preserve"> 满足磋商文件要求且最后有效报价最低的供应商的价格为基准价，其价格分为满分。其它有效供应商报价得分按以下公式计算：报价得分=(基准价／最后磋商报价)×10×100%。 </w:t>
                  </w:r>
                </w:p>
              </w:tc>
              <w:tc>
                <w:tcPr>
                  <w:tcW w:w="100" w:type="pct"/>
                  <w:shd w:val="clear" w:color="auto" w:fill="FFFFFF"/>
                  <w:vAlign w:val="center"/>
                </w:tcPr>
                <w:p>
                  <w:pPr>
                    <w:spacing w:line="500" w:lineRule="exact"/>
                    <w:jc w:val="center"/>
                    <w:rPr>
                      <w:rFonts w:hint="eastAsia" w:ascii="方正仿宋_GBK" w:hAnsi="方正仿宋_GBK" w:eastAsia="仿宋" w:cs="方正仿宋_GBK"/>
                      <w:b w:val="0"/>
                      <w:sz w:val="24"/>
                      <w:szCs w:val="28"/>
                    </w:rPr>
                  </w:pPr>
                  <w:r>
                    <w:rPr>
                      <w:rFonts w:hint="eastAsia" w:ascii="方正仿宋_GBK" w:hAnsi="方正仿宋_GBK" w:eastAsia="仿宋" w:cs="方正仿宋_GBK"/>
                      <w:b w:val="0"/>
                      <w:sz w:val="24"/>
                      <w:szCs w:val="28"/>
                    </w:rPr>
                    <w:t xml:space="preserve"> 共同评分因素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FFFFFF"/>
                  <w:vAlign w:val="center"/>
                </w:tcPr>
                <w:p>
                  <w:pPr>
                    <w:spacing w:line="500" w:lineRule="exact"/>
                    <w:jc w:val="center"/>
                    <w:rPr>
                      <w:rFonts w:hint="eastAsia" w:ascii="方正仿宋_GBK" w:hAnsi="方正仿宋_GBK" w:eastAsia="仿宋" w:cs="方正仿宋_GBK"/>
                      <w:b w:val="0"/>
                      <w:sz w:val="24"/>
                      <w:szCs w:val="28"/>
                    </w:rPr>
                  </w:pPr>
                  <w:r>
                    <w:rPr>
                      <w:rFonts w:hint="eastAsia" w:ascii="方正仿宋_GBK" w:hAnsi="方正仿宋_GBK" w:eastAsia="仿宋" w:cs="方正仿宋_GBK"/>
                      <w:b w:val="0"/>
                      <w:sz w:val="24"/>
                      <w:szCs w:val="28"/>
                    </w:rPr>
                    <w:t>项目整体实施方案</w:t>
                  </w:r>
                </w:p>
              </w:tc>
              <w:tc>
                <w:tcPr>
                  <w:tcW w:w="100" w:type="pct"/>
                  <w:shd w:val="clear" w:color="auto" w:fill="FFFFFF"/>
                  <w:vAlign w:val="center"/>
                </w:tcPr>
                <w:p>
                  <w:pPr>
                    <w:spacing w:line="500" w:lineRule="exact"/>
                    <w:jc w:val="center"/>
                    <w:rPr>
                      <w:rFonts w:hint="eastAsia" w:ascii="方正仿宋_GBK" w:hAnsi="方正仿宋_GBK" w:eastAsia="仿宋" w:cs="方正仿宋_GBK"/>
                      <w:b w:val="0"/>
                      <w:sz w:val="24"/>
                      <w:szCs w:val="28"/>
                    </w:rPr>
                  </w:pPr>
                  <w:r>
                    <w:rPr>
                      <w:rFonts w:hint="eastAsia" w:ascii="方正仿宋_GBK" w:hAnsi="方正仿宋_GBK" w:eastAsia="仿宋" w:cs="方正仿宋_GBK"/>
                      <w:b w:val="0"/>
                      <w:sz w:val="24"/>
                      <w:szCs w:val="28"/>
                    </w:rPr>
                    <w:t>32</w:t>
                  </w:r>
                </w:p>
              </w:tc>
              <w:tc>
                <w:tcPr>
                  <w:tcW w:w="200" w:type="pct"/>
                  <w:shd w:val="clear" w:color="auto" w:fill="FFFFFF"/>
                  <w:vAlign w:val="center"/>
                </w:tcPr>
                <w:p>
                  <w:pPr>
                    <w:spacing w:line="500" w:lineRule="exact"/>
                    <w:jc w:val="center"/>
                    <w:rPr>
                      <w:rFonts w:hint="eastAsia" w:ascii="方正仿宋_GBK" w:hAnsi="方正仿宋_GBK" w:eastAsia="仿宋" w:cs="方正仿宋_GBK"/>
                      <w:b w:val="0"/>
                      <w:sz w:val="24"/>
                      <w:szCs w:val="28"/>
                    </w:rPr>
                  </w:pPr>
                  <w:r>
                    <w:rPr>
                      <w:rFonts w:hint="eastAsia" w:ascii="方正仿宋_GBK" w:hAnsi="方正仿宋_GBK" w:eastAsia="仿宋" w:cs="方正仿宋_GBK"/>
                      <w:b w:val="0"/>
                      <w:sz w:val="24"/>
                      <w:szCs w:val="28"/>
                    </w:rPr>
                    <w:t xml:space="preserve"> 方案内容应包含但不限于以下内容：①项目的整体理解、②基本思路、③工作目标、④管理制度、⑤重难点分析、⑥调查测评内容指标体系设计、⑦管理措施、⑧数据分析的质量保证。全部满足本项目需求的得32分，每有一项缺失或与项目无关的扣4分，每有一项存在缺陷的扣2分，扣完为止。 </w:t>
                  </w:r>
                </w:p>
              </w:tc>
              <w:tc>
                <w:tcPr>
                  <w:tcW w:w="100" w:type="pct"/>
                  <w:shd w:val="clear" w:color="auto" w:fill="FFFFFF"/>
                  <w:vAlign w:val="center"/>
                </w:tcPr>
                <w:p>
                  <w:pPr>
                    <w:spacing w:line="500" w:lineRule="exact"/>
                    <w:jc w:val="center"/>
                    <w:rPr>
                      <w:rFonts w:hint="eastAsia" w:ascii="方正仿宋_GBK" w:hAnsi="方正仿宋_GBK" w:eastAsia="仿宋" w:cs="方正仿宋_GBK"/>
                      <w:b w:val="0"/>
                      <w:sz w:val="24"/>
                      <w:szCs w:val="28"/>
                    </w:rPr>
                  </w:pPr>
                  <w:r>
                    <w:rPr>
                      <w:rFonts w:hint="eastAsia" w:ascii="方正仿宋_GBK" w:hAnsi="方正仿宋_GBK" w:eastAsia="仿宋" w:cs="方正仿宋_GBK"/>
                      <w:b w:val="0"/>
                      <w:sz w:val="24"/>
                      <w:szCs w:val="28"/>
                    </w:rPr>
                    <w:t xml:space="preserve">  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FFFFFF"/>
                  <w:vAlign w:val="center"/>
                </w:tcPr>
                <w:p>
                  <w:pPr>
                    <w:spacing w:line="500" w:lineRule="exact"/>
                    <w:jc w:val="center"/>
                    <w:rPr>
                      <w:rFonts w:hint="eastAsia" w:ascii="方正仿宋_GBK" w:hAnsi="方正仿宋_GBK" w:eastAsia="仿宋" w:cs="方正仿宋_GBK"/>
                      <w:b w:val="0"/>
                      <w:sz w:val="24"/>
                      <w:szCs w:val="28"/>
                    </w:rPr>
                  </w:pPr>
                  <w:r>
                    <w:rPr>
                      <w:rFonts w:hint="eastAsia" w:ascii="方正仿宋_GBK" w:hAnsi="方正仿宋_GBK" w:eastAsia="仿宋" w:cs="方正仿宋_GBK"/>
                      <w:b w:val="0"/>
                      <w:sz w:val="24"/>
                      <w:szCs w:val="28"/>
                    </w:rPr>
                    <w:t>服务及测评方案</w:t>
                  </w:r>
                </w:p>
              </w:tc>
              <w:tc>
                <w:tcPr>
                  <w:tcW w:w="100" w:type="pct"/>
                  <w:shd w:val="clear" w:color="auto" w:fill="FFFFFF"/>
                  <w:vAlign w:val="center"/>
                </w:tcPr>
                <w:p>
                  <w:pPr>
                    <w:spacing w:line="500" w:lineRule="exact"/>
                    <w:jc w:val="center"/>
                    <w:rPr>
                      <w:rFonts w:hint="eastAsia" w:ascii="方正仿宋_GBK" w:hAnsi="方正仿宋_GBK" w:eastAsia="仿宋" w:cs="方正仿宋_GBK"/>
                      <w:b w:val="0"/>
                      <w:sz w:val="24"/>
                      <w:szCs w:val="28"/>
                    </w:rPr>
                  </w:pPr>
                  <w:r>
                    <w:rPr>
                      <w:rFonts w:hint="eastAsia" w:ascii="方正仿宋_GBK" w:hAnsi="方正仿宋_GBK" w:eastAsia="仿宋" w:cs="方正仿宋_GBK"/>
                      <w:b w:val="0"/>
                      <w:sz w:val="24"/>
                      <w:szCs w:val="28"/>
                    </w:rPr>
                    <w:t>15</w:t>
                  </w:r>
                </w:p>
              </w:tc>
              <w:tc>
                <w:tcPr>
                  <w:tcW w:w="200" w:type="pct"/>
                  <w:shd w:val="clear" w:color="auto" w:fill="FFFFFF"/>
                  <w:vAlign w:val="center"/>
                </w:tcPr>
                <w:p>
                  <w:pPr>
                    <w:spacing w:line="500" w:lineRule="exact"/>
                    <w:jc w:val="center"/>
                    <w:rPr>
                      <w:rFonts w:hint="eastAsia" w:ascii="方正仿宋_GBK" w:hAnsi="方正仿宋_GBK" w:eastAsia="仿宋" w:cs="方正仿宋_GBK"/>
                      <w:b w:val="0"/>
                      <w:sz w:val="24"/>
                      <w:szCs w:val="28"/>
                    </w:rPr>
                  </w:pPr>
                  <w:r>
                    <w:rPr>
                      <w:rFonts w:hint="eastAsia" w:ascii="方正仿宋_GBK" w:hAnsi="方正仿宋_GBK" w:eastAsia="仿宋" w:cs="方正仿宋_GBK"/>
                      <w:b w:val="0"/>
                      <w:sz w:val="24"/>
                      <w:szCs w:val="28"/>
                    </w:rPr>
                    <w:t xml:space="preserve"> 方案内容应包含但不限于以下内容：①测评标准、②培训服务、③质量控制措施、④应急预案、⑤后续服务。全部满足本项目需求的得15分，每有一项缺失或与项目无关的扣3分，每有一项存在缺陷的扣1分，扣完为止。 </w:t>
                  </w:r>
                </w:p>
              </w:tc>
              <w:tc>
                <w:tcPr>
                  <w:tcW w:w="100" w:type="pct"/>
                  <w:shd w:val="clear" w:color="auto" w:fill="FFFFFF"/>
                  <w:vAlign w:val="center"/>
                </w:tcPr>
                <w:p>
                  <w:pPr>
                    <w:spacing w:line="500" w:lineRule="exact"/>
                    <w:jc w:val="center"/>
                    <w:rPr>
                      <w:rFonts w:hint="eastAsia" w:ascii="方正仿宋_GBK" w:hAnsi="方正仿宋_GBK" w:eastAsia="仿宋" w:cs="方正仿宋_GBK"/>
                      <w:b w:val="0"/>
                      <w:sz w:val="24"/>
                      <w:szCs w:val="28"/>
                    </w:rPr>
                  </w:pPr>
                  <w:r>
                    <w:rPr>
                      <w:rFonts w:hint="eastAsia" w:ascii="方正仿宋_GBK" w:hAnsi="方正仿宋_GBK" w:eastAsia="仿宋" w:cs="方正仿宋_GBK"/>
                      <w:b w:val="0"/>
                      <w:sz w:val="24"/>
                      <w:szCs w:val="28"/>
                    </w:rPr>
                    <w:t xml:space="preserve"> 技术类评分因素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FFFFFF"/>
                  <w:vAlign w:val="center"/>
                </w:tcPr>
                <w:p>
                  <w:pPr>
                    <w:spacing w:line="500" w:lineRule="exact"/>
                    <w:jc w:val="center"/>
                    <w:rPr>
                      <w:rFonts w:hint="eastAsia" w:ascii="方正仿宋_GBK" w:hAnsi="方正仿宋_GBK" w:eastAsia="仿宋" w:cs="方正仿宋_GBK"/>
                      <w:b w:val="0"/>
                      <w:sz w:val="24"/>
                      <w:szCs w:val="28"/>
                    </w:rPr>
                  </w:pPr>
                  <w:r>
                    <w:rPr>
                      <w:rFonts w:hint="eastAsia" w:ascii="方正仿宋_GBK" w:hAnsi="方正仿宋_GBK" w:eastAsia="仿宋" w:cs="方正仿宋_GBK"/>
                      <w:b w:val="0"/>
                      <w:sz w:val="24"/>
                      <w:szCs w:val="28"/>
                    </w:rPr>
                    <w:t>人员管理方案</w:t>
                  </w:r>
                </w:p>
              </w:tc>
              <w:tc>
                <w:tcPr>
                  <w:tcW w:w="100" w:type="pct"/>
                  <w:shd w:val="clear" w:color="auto" w:fill="FFFFFF"/>
                  <w:vAlign w:val="center"/>
                </w:tcPr>
                <w:p>
                  <w:pPr>
                    <w:spacing w:line="500" w:lineRule="exact"/>
                    <w:jc w:val="center"/>
                    <w:rPr>
                      <w:rFonts w:hint="eastAsia" w:ascii="方正仿宋_GBK" w:hAnsi="方正仿宋_GBK" w:eastAsia="仿宋" w:cs="方正仿宋_GBK"/>
                      <w:b w:val="0"/>
                      <w:sz w:val="24"/>
                      <w:szCs w:val="28"/>
                    </w:rPr>
                  </w:pPr>
                  <w:r>
                    <w:rPr>
                      <w:rFonts w:hint="eastAsia" w:ascii="方正仿宋_GBK" w:hAnsi="方正仿宋_GBK" w:eastAsia="仿宋" w:cs="方正仿宋_GBK"/>
                      <w:b w:val="0"/>
                      <w:sz w:val="24"/>
                      <w:szCs w:val="28"/>
                    </w:rPr>
                    <w:t>15</w:t>
                  </w:r>
                </w:p>
              </w:tc>
              <w:tc>
                <w:tcPr>
                  <w:tcW w:w="200" w:type="pct"/>
                  <w:shd w:val="clear" w:color="auto" w:fill="FFFFFF"/>
                  <w:vAlign w:val="center"/>
                </w:tcPr>
                <w:p>
                  <w:pPr>
                    <w:spacing w:line="500" w:lineRule="exact"/>
                    <w:jc w:val="center"/>
                    <w:rPr>
                      <w:rFonts w:hint="eastAsia" w:ascii="方正仿宋_GBK" w:hAnsi="方正仿宋_GBK" w:eastAsia="仿宋" w:cs="方正仿宋_GBK"/>
                      <w:b w:val="0"/>
                      <w:sz w:val="24"/>
                      <w:szCs w:val="28"/>
                    </w:rPr>
                  </w:pPr>
                  <w:r>
                    <w:rPr>
                      <w:rFonts w:hint="eastAsia" w:ascii="方正仿宋_GBK" w:hAnsi="方正仿宋_GBK" w:eastAsia="仿宋" w:cs="方正仿宋_GBK"/>
                      <w:b w:val="0"/>
                      <w:sz w:val="24"/>
                      <w:szCs w:val="28"/>
                    </w:rPr>
                    <w:t xml:space="preserve"> 人员管理方案内容应包含但不限于以下内容：①人员配置；②人员管理；③人员培训；④安全管理及疫情防控；⑤考核办法。全部满足本项目需求的得15分，每有一项缺失或与项目无关的扣3分，每有一项存在缺陷的扣1分，扣完为止。 </w:t>
                  </w:r>
                </w:p>
              </w:tc>
              <w:tc>
                <w:tcPr>
                  <w:tcW w:w="100" w:type="pct"/>
                  <w:shd w:val="clear" w:color="auto" w:fill="FFFFFF"/>
                  <w:vAlign w:val="center"/>
                </w:tcPr>
                <w:p>
                  <w:pPr>
                    <w:spacing w:line="500" w:lineRule="exact"/>
                    <w:jc w:val="center"/>
                    <w:rPr>
                      <w:rFonts w:hint="eastAsia" w:ascii="方正仿宋_GBK" w:hAnsi="方正仿宋_GBK" w:eastAsia="仿宋" w:cs="方正仿宋_GBK"/>
                      <w:b w:val="0"/>
                      <w:sz w:val="24"/>
                      <w:szCs w:val="28"/>
                    </w:rPr>
                  </w:pPr>
                  <w:r>
                    <w:rPr>
                      <w:rFonts w:hint="eastAsia" w:ascii="方正仿宋_GBK" w:hAnsi="方正仿宋_GBK" w:eastAsia="仿宋" w:cs="方正仿宋_GBK"/>
                      <w:b w:val="0"/>
                      <w:sz w:val="24"/>
                      <w:szCs w:val="28"/>
                    </w:rPr>
                    <w:t xml:space="preserve">  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FFFFFF"/>
                  <w:vAlign w:val="center"/>
                </w:tcPr>
                <w:p>
                  <w:pPr>
                    <w:spacing w:line="500" w:lineRule="exact"/>
                    <w:jc w:val="center"/>
                    <w:rPr>
                      <w:rFonts w:hint="eastAsia" w:ascii="方正仿宋_GBK" w:hAnsi="方正仿宋_GBK" w:eastAsia="仿宋" w:cs="方正仿宋_GBK"/>
                      <w:b w:val="0"/>
                      <w:sz w:val="24"/>
                      <w:szCs w:val="28"/>
                    </w:rPr>
                  </w:pPr>
                  <w:r>
                    <w:rPr>
                      <w:rFonts w:hint="eastAsia" w:ascii="方正仿宋_GBK" w:hAnsi="方正仿宋_GBK" w:eastAsia="仿宋" w:cs="方正仿宋_GBK"/>
                      <w:b w:val="0"/>
                      <w:sz w:val="24"/>
                      <w:szCs w:val="28"/>
                    </w:rPr>
                    <w:t>团队技术实力</w:t>
                  </w:r>
                </w:p>
              </w:tc>
              <w:tc>
                <w:tcPr>
                  <w:tcW w:w="100" w:type="pct"/>
                  <w:shd w:val="clear" w:color="auto" w:fill="FFFFFF"/>
                  <w:vAlign w:val="center"/>
                </w:tcPr>
                <w:p>
                  <w:pPr>
                    <w:spacing w:line="500" w:lineRule="exact"/>
                    <w:jc w:val="center"/>
                    <w:rPr>
                      <w:rFonts w:hint="eastAsia" w:ascii="方正仿宋_GBK" w:hAnsi="方正仿宋_GBK" w:eastAsia="仿宋" w:cs="方正仿宋_GBK"/>
                      <w:b w:val="0"/>
                      <w:sz w:val="24"/>
                      <w:szCs w:val="28"/>
                    </w:rPr>
                  </w:pPr>
                  <w:r>
                    <w:rPr>
                      <w:rFonts w:hint="eastAsia" w:ascii="方正仿宋_GBK" w:hAnsi="方正仿宋_GBK" w:eastAsia="仿宋" w:cs="方正仿宋_GBK"/>
                      <w:b w:val="0"/>
                      <w:sz w:val="24"/>
                      <w:szCs w:val="28"/>
                    </w:rPr>
                    <w:t>6</w:t>
                  </w:r>
                </w:p>
              </w:tc>
              <w:tc>
                <w:tcPr>
                  <w:tcW w:w="200" w:type="pct"/>
                  <w:shd w:val="clear" w:color="auto" w:fill="FFFFFF"/>
                  <w:vAlign w:val="center"/>
                </w:tcPr>
                <w:p>
                  <w:pPr>
                    <w:spacing w:line="500" w:lineRule="exact"/>
                    <w:jc w:val="center"/>
                    <w:rPr>
                      <w:rFonts w:hint="eastAsia" w:ascii="方正仿宋_GBK" w:hAnsi="方正仿宋_GBK" w:eastAsia="仿宋" w:cs="方正仿宋_GBK"/>
                      <w:b w:val="0"/>
                      <w:sz w:val="24"/>
                      <w:szCs w:val="28"/>
                    </w:rPr>
                  </w:pPr>
                  <w:r>
                    <w:rPr>
                      <w:rFonts w:hint="eastAsia" w:ascii="方正仿宋_GBK" w:hAnsi="方正仿宋_GBK" w:eastAsia="仿宋" w:cs="方正仿宋_GBK"/>
                      <w:b w:val="0"/>
                      <w:sz w:val="24"/>
                      <w:szCs w:val="28"/>
                    </w:rPr>
                    <w:t xml:space="preserve"> 项目服务人员中具有统计调查类中级职称的每个得1分，高级及以上职称的每个得3分，本项最高得6分。</w:t>
                  </w:r>
                </w:p>
                <w:p>
                  <w:pPr>
                    <w:spacing w:line="500" w:lineRule="exact"/>
                    <w:jc w:val="center"/>
                    <w:rPr>
                      <w:rFonts w:hint="eastAsia" w:ascii="方正仿宋_GBK" w:hAnsi="方正仿宋_GBK" w:eastAsia="仿宋" w:cs="方正仿宋_GBK"/>
                      <w:b w:val="0"/>
                      <w:sz w:val="24"/>
                      <w:szCs w:val="28"/>
                    </w:rPr>
                  </w:pPr>
                  <w:r>
                    <w:rPr>
                      <w:rFonts w:hint="eastAsia" w:ascii="方正仿宋_GBK" w:hAnsi="方正仿宋_GBK" w:eastAsia="仿宋" w:cs="方正仿宋_GBK"/>
                      <w:b w:val="0"/>
                      <w:sz w:val="24"/>
                      <w:szCs w:val="28"/>
                    </w:rPr>
                    <w:t xml:space="preserve">注：上述人员不重复计分。（需提供相关证明材料复印件，并加盖供应商鲜章 ） </w:t>
                  </w:r>
                </w:p>
              </w:tc>
              <w:tc>
                <w:tcPr>
                  <w:tcW w:w="100" w:type="pct"/>
                  <w:shd w:val="clear" w:color="auto" w:fill="FFFFFF"/>
                  <w:vAlign w:val="center"/>
                </w:tcPr>
                <w:p>
                  <w:pPr>
                    <w:spacing w:line="500" w:lineRule="exact"/>
                    <w:jc w:val="center"/>
                    <w:rPr>
                      <w:rFonts w:hint="eastAsia" w:ascii="方正仿宋_GBK" w:hAnsi="方正仿宋_GBK" w:eastAsia="仿宋" w:cs="方正仿宋_GBK"/>
                      <w:b w:val="0"/>
                      <w:sz w:val="24"/>
                      <w:szCs w:val="28"/>
                    </w:rPr>
                  </w:pPr>
                  <w:r>
                    <w:rPr>
                      <w:rFonts w:hint="eastAsia" w:ascii="方正仿宋_GBK" w:hAnsi="方正仿宋_GBK" w:eastAsia="仿宋" w:cs="方正仿宋_GBK"/>
                      <w:b w:val="0"/>
                      <w:sz w:val="24"/>
                      <w:szCs w:val="28"/>
                    </w:rPr>
                    <w:t xml:space="preserve"> （共同评分因素）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FFFFFF"/>
                  <w:vAlign w:val="center"/>
                </w:tcPr>
                <w:p>
                  <w:pPr>
                    <w:spacing w:line="500" w:lineRule="exact"/>
                    <w:jc w:val="center"/>
                    <w:rPr>
                      <w:rFonts w:hint="eastAsia" w:ascii="方正仿宋_GBK" w:hAnsi="方正仿宋_GBK" w:eastAsia="仿宋" w:cs="方正仿宋_GBK"/>
                      <w:b w:val="0"/>
                      <w:sz w:val="24"/>
                      <w:szCs w:val="28"/>
                    </w:rPr>
                  </w:pPr>
                  <w:r>
                    <w:rPr>
                      <w:rFonts w:hint="eastAsia" w:ascii="方正仿宋_GBK" w:hAnsi="方正仿宋_GBK" w:eastAsia="仿宋" w:cs="方正仿宋_GBK"/>
                      <w:b w:val="0"/>
                      <w:sz w:val="24"/>
                      <w:szCs w:val="28"/>
                    </w:rPr>
                    <w:t>履约能力</w:t>
                  </w:r>
                </w:p>
              </w:tc>
              <w:tc>
                <w:tcPr>
                  <w:tcW w:w="100" w:type="pct"/>
                  <w:shd w:val="clear" w:color="auto" w:fill="FFFFFF"/>
                  <w:vAlign w:val="center"/>
                </w:tcPr>
                <w:p>
                  <w:pPr>
                    <w:spacing w:line="500" w:lineRule="exact"/>
                    <w:jc w:val="center"/>
                    <w:rPr>
                      <w:rFonts w:hint="eastAsia" w:ascii="方正仿宋_GBK" w:hAnsi="方正仿宋_GBK" w:eastAsia="仿宋" w:cs="方正仿宋_GBK"/>
                      <w:b w:val="0"/>
                      <w:sz w:val="24"/>
                      <w:szCs w:val="28"/>
                    </w:rPr>
                  </w:pPr>
                  <w:r>
                    <w:rPr>
                      <w:rFonts w:hint="eastAsia" w:ascii="方正仿宋_GBK" w:hAnsi="方正仿宋_GBK" w:eastAsia="仿宋" w:cs="方正仿宋_GBK"/>
                      <w:b w:val="0"/>
                      <w:sz w:val="24"/>
                      <w:szCs w:val="28"/>
                    </w:rPr>
                    <w:t>15</w:t>
                  </w:r>
                </w:p>
              </w:tc>
              <w:tc>
                <w:tcPr>
                  <w:tcW w:w="200" w:type="pct"/>
                  <w:shd w:val="clear" w:color="auto" w:fill="FFFFFF"/>
                  <w:vAlign w:val="center"/>
                </w:tcPr>
                <w:p>
                  <w:pPr>
                    <w:spacing w:line="500" w:lineRule="exact"/>
                    <w:jc w:val="center"/>
                    <w:rPr>
                      <w:rFonts w:hint="eastAsia" w:ascii="方正仿宋_GBK" w:hAnsi="方正仿宋_GBK" w:eastAsia="仿宋" w:cs="方正仿宋_GBK"/>
                      <w:b w:val="0"/>
                      <w:sz w:val="24"/>
                      <w:szCs w:val="28"/>
                    </w:rPr>
                  </w:pPr>
                  <w:r>
                    <w:rPr>
                      <w:rFonts w:hint="eastAsia" w:ascii="方正仿宋_GBK" w:hAnsi="方正仿宋_GBK" w:eastAsia="仿宋" w:cs="方正仿宋_GBK"/>
                      <w:b w:val="0"/>
                      <w:sz w:val="24"/>
                      <w:szCs w:val="28"/>
                    </w:rPr>
                    <w:t xml:space="preserve"> 提供2018年1月1日至响应文件截止之日前，供应商具有类似项目业绩的，每提供一个得5分，最高得15分。（项目需附相关复印件作为证明材料，复印件模糊不清、无法辨认的不得分。）。  需提供中标（成交）通知书复印件或合同复印件并加盖供应商鲜章。 </w:t>
                  </w:r>
                </w:p>
              </w:tc>
              <w:tc>
                <w:tcPr>
                  <w:tcW w:w="100" w:type="pct"/>
                  <w:shd w:val="clear" w:color="auto" w:fill="FFFFFF"/>
                  <w:vAlign w:val="center"/>
                </w:tcPr>
                <w:p>
                  <w:pPr>
                    <w:spacing w:line="500" w:lineRule="exact"/>
                    <w:jc w:val="center"/>
                    <w:rPr>
                      <w:rFonts w:hint="eastAsia" w:ascii="方正仿宋_GBK" w:hAnsi="方正仿宋_GBK" w:eastAsia="仿宋" w:cs="方正仿宋_GBK"/>
                      <w:b w:val="0"/>
                      <w:sz w:val="24"/>
                      <w:szCs w:val="28"/>
                    </w:rPr>
                  </w:pPr>
                  <w:r>
                    <w:rPr>
                      <w:rFonts w:hint="eastAsia" w:ascii="方正仿宋_GBK" w:hAnsi="方正仿宋_GBK" w:eastAsia="仿宋" w:cs="方正仿宋_GBK"/>
                      <w:b w:val="0"/>
                      <w:sz w:val="24"/>
                      <w:szCs w:val="28"/>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FFFFFF"/>
                  <w:vAlign w:val="center"/>
                </w:tcPr>
                <w:p>
                  <w:pPr>
                    <w:spacing w:line="500" w:lineRule="exact"/>
                    <w:jc w:val="center"/>
                    <w:rPr>
                      <w:rFonts w:hint="eastAsia" w:ascii="方正仿宋_GBK" w:hAnsi="方正仿宋_GBK" w:eastAsia="仿宋" w:cs="方正仿宋_GBK"/>
                      <w:b w:val="0"/>
                      <w:sz w:val="24"/>
                      <w:szCs w:val="28"/>
                    </w:rPr>
                  </w:pPr>
                  <w:r>
                    <w:rPr>
                      <w:rFonts w:hint="eastAsia" w:ascii="方正仿宋_GBK" w:hAnsi="方正仿宋_GBK" w:eastAsia="仿宋" w:cs="方正仿宋_GBK"/>
                      <w:b w:val="0"/>
                      <w:sz w:val="24"/>
                      <w:szCs w:val="28"/>
                    </w:rPr>
                    <w:t>企业实力</w:t>
                  </w:r>
                </w:p>
              </w:tc>
              <w:tc>
                <w:tcPr>
                  <w:tcW w:w="100" w:type="pct"/>
                  <w:shd w:val="clear" w:color="auto" w:fill="FFFFFF"/>
                  <w:vAlign w:val="center"/>
                </w:tcPr>
                <w:p>
                  <w:pPr>
                    <w:spacing w:line="500" w:lineRule="exact"/>
                    <w:jc w:val="center"/>
                    <w:rPr>
                      <w:rFonts w:hint="eastAsia" w:ascii="方正仿宋_GBK" w:hAnsi="方正仿宋_GBK" w:eastAsia="仿宋" w:cs="方正仿宋_GBK"/>
                      <w:b w:val="0"/>
                      <w:sz w:val="24"/>
                      <w:szCs w:val="28"/>
                    </w:rPr>
                  </w:pPr>
                  <w:r>
                    <w:rPr>
                      <w:rFonts w:hint="eastAsia" w:ascii="方正仿宋_GBK" w:hAnsi="方正仿宋_GBK" w:eastAsia="仿宋" w:cs="方正仿宋_GBK"/>
                      <w:b w:val="0"/>
                      <w:sz w:val="24"/>
                      <w:szCs w:val="28"/>
                    </w:rPr>
                    <w:t>7</w:t>
                  </w:r>
                </w:p>
              </w:tc>
              <w:tc>
                <w:tcPr>
                  <w:tcW w:w="200" w:type="pct"/>
                  <w:shd w:val="clear" w:color="auto" w:fill="FFFFFF"/>
                  <w:vAlign w:val="center"/>
                </w:tcPr>
                <w:p>
                  <w:pPr>
                    <w:spacing w:line="500" w:lineRule="exact"/>
                    <w:jc w:val="center"/>
                    <w:rPr>
                      <w:rFonts w:hint="eastAsia" w:ascii="方正仿宋_GBK" w:hAnsi="方正仿宋_GBK" w:eastAsia="仿宋" w:cs="方正仿宋_GBK"/>
                      <w:b w:val="0"/>
                      <w:sz w:val="24"/>
                      <w:szCs w:val="28"/>
                    </w:rPr>
                  </w:pPr>
                  <w:r>
                    <w:rPr>
                      <w:rFonts w:hint="eastAsia" w:ascii="方正仿宋_GBK" w:hAnsi="方正仿宋_GBK" w:eastAsia="仿宋" w:cs="方正仿宋_GBK"/>
                      <w:b w:val="0"/>
                      <w:sz w:val="24"/>
                      <w:szCs w:val="28"/>
                    </w:rPr>
                    <w:t xml:space="preserve"> 1.具有文明城市创建实地测评系统，其中含文明城市自动算分的得3分，不含的不得分。</w:t>
                  </w:r>
                </w:p>
                <w:p>
                  <w:pPr>
                    <w:spacing w:line="500" w:lineRule="exact"/>
                    <w:jc w:val="center"/>
                    <w:rPr>
                      <w:rFonts w:hint="eastAsia" w:ascii="方正仿宋_GBK" w:hAnsi="方正仿宋_GBK" w:eastAsia="仿宋" w:cs="方正仿宋_GBK"/>
                      <w:b w:val="0"/>
                      <w:sz w:val="24"/>
                      <w:szCs w:val="28"/>
                    </w:rPr>
                  </w:pPr>
                  <w:r>
                    <w:rPr>
                      <w:rFonts w:hint="eastAsia" w:ascii="方正仿宋_GBK" w:hAnsi="方正仿宋_GBK" w:eastAsia="仿宋" w:cs="方正仿宋_GBK"/>
                      <w:b w:val="0"/>
                      <w:sz w:val="24"/>
                      <w:szCs w:val="28"/>
                    </w:rPr>
                    <w:t xml:space="preserve">2.每提供一个类似文明城市软件著作权证书得2分,最高得4分。  需提供相关证明材料复印件或扫描件，并加盖供应商鲜章 </w:t>
                  </w:r>
                </w:p>
              </w:tc>
              <w:tc>
                <w:tcPr>
                  <w:tcW w:w="100" w:type="pct"/>
                  <w:shd w:val="clear" w:color="auto" w:fill="FFFFFF"/>
                  <w:vAlign w:val="center"/>
                </w:tcPr>
                <w:p>
                  <w:pPr>
                    <w:spacing w:line="500" w:lineRule="exact"/>
                    <w:jc w:val="center"/>
                    <w:rPr>
                      <w:rFonts w:hint="eastAsia" w:ascii="方正仿宋_GBK" w:hAnsi="方正仿宋_GBK" w:eastAsia="仿宋" w:cs="方正仿宋_GBK"/>
                      <w:b w:val="0"/>
                      <w:sz w:val="24"/>
                      <w:szCs w:val="28"/>
                    </w:rPr>
                  </w:pPr>
                  <w:r>
                    <w:rPr>
                      <w:rFonts w:hint="eastAsia" w:ascii="方正仿宋_GBK" w:hAnsi="方正仿宋_GBK" w:eastAsia="仿宋" w:cs="方正仿宋_GBK"/>
                      <w:b w:val="0"/>
                      <w:sz w:val="24"/>
                      <w:szCs w:val="28"/>
                    </w:rPr>
                    <w:t>共同评分因素</w:t>
                  </w:r>
                </w:p>
              </w:tc>
            </w:tr>
          </w:tbl>
          <w:p/>
        </w:tc>
      </w:tr>
      <w:bookmarkEnd w:id="402"/>
    </w:tbl>
    <w:p>
      <w:pPr>
        <w:rPr>
          <w:rFonts w:hint="eastAsia" w:ascii="方正仿宋_GBK" w:hAnsi="方正仿宋_GBK" w:eastAsia="方正仿宋_GBK" w:cs="方正仿宋_GBK"/>
        </w:rPr>
      </w:pPr>
    </w:p>
    <w:p>
      <w:pPr>
        <w:pStyle w:val="5"/>
        <w:spacing w:line="500" w:lineRule="exact"/>
        <w:rPr>
          <w:rFonts w:hint="eastAsia" w:ascii="方正仿宋_GBK" w:hAnsi="方正仿宋_GBK" w:eastAsia="方正仿宋_GBK" w:cs="方正仿宋_GBK"/>
        </w:rPr>
      </w:pPr>
      <w:bookmarkStart w:id="403" w:name="_Toc63765823"/>
      <w:bookmarkStart w:id="404" w:name="_Toc20271"/>
      <w:bookmarkStart w:id="405" w:name="_Toc5234"/>
      <w:bookmarkStart w:id="406" w:name="_Toc20109"/>
      <w:r>
        <w:rPr>
          <w:rFonts w:hint="eastAsia" w:ascii="方正仿宋_GBK" w:hAnsi="方正仿宋_GBK" w:eastAsia="方正仿宋_GBK" w:cs="方正仿宋_GBK"/>
        </w:rPr>
        <w:t>八、</w:t>
      </w:r>
      <w:bookmarkEnd w:id="403"/>
      <w:r>
        <w:rPr>
          <w:rFonts w:hint="eastAsia" w:ascii="方正仿宋_GBK" w:hAnsi="方正仿宋_GBK" w:eastAsia="方正仿宋_GBK" w:cs="方正仿宋_GBK"/>
        </w:rPr>
        <w:t>评审结果复核</w:t>
      </w:r>
      <w:bookmarkEnd w:id="404"/>
      <w:bookmarkEnd w:id="405"/>
      <w:bookmarkEnd w:id="406"/>
    </w:p>
    <w:p>
      <w:pPr>
        <w:snapToGrid w:val="0"/>
        <w:spacing w:line="500" w:lineRule="exact"/>
        <w:ind w:firstLine="554" w:firstLineChars="19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（一）磋商小组完成评分后，应汇总评审结果，进行评审复核，对拟推荐为成交候选供应商的、报价最低的、供应商书面审查未通过的、供应商被淘汰的重点复核。</w:t>
      </w:r>
    </w:p>
    <w:p>
      <w:pPr>
        <w:snapToGrid w:val="0"/>
        <w:spacing w:line="500" w:lineRule="exact"/>
        <w:ind w:firstLine="554" w:firstLineChars="19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（二）磋商报告出具前，采购组织单位应组织2名以上的本单位工作人员，在采购现场监督人员的监督之下，依据有关的法律制度和磋商文件对评审结果进行复核，出具复核报告。</w:t>
      </w:r>
    </w:p>
    <w:p>
      <w:pPr>
        <w:snapToGrid w:val="0"/>
        <w:spacing w:line="500" w:lineRule="exact"/>
        <w:ind w:firstLine="554" w:firstLineChars="19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（三）有下列情形之一的，不得现场修改评审结果：</w:t>
      </w:r>
    </w:p>
    <w:p>
      <w:pPr>
        <w:snapToGrid w:val="0"/>
        <w:spacing w:line="500" w:lineRule="exact"/>
        <w:ind w:firstLine="554" w:firstLineChars="19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1.磋商小组已经出具磋商报告并且离开评审现场的；</w:t>
      </w:r>
    </w:p>
    <w:p>
      <w:pPr>
        <w:snapToGrid w:val="0"/>
        <w:spacing w:line="500" w:lineRule="exact"/>
        <w:ind w:firstLine="554" w:firstLineChars="19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2.采购组织单位现场复核时，复核工作人员数量不足的；</w:t>
      </w:r>
    </w:p>
    <w:p>
      <w:pPr>
        <w:snapToGrid w:val="0"/>
        <w:spacing w:line="500" w:lineRule="exact"/>
        <w:ind w:firstLine="554" w:firstLineChars="19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3.采购组织单位现场复核时，没有采购监督人员现场监督的；</w:t>
      </w:r>
    </w:p>
    <w:p>
      <w:pPr>
        <w:snapToGrid w:val="0"/>
        <w:spacing w:line="500" w:lineRule="exact"/>
        <w:ind w:firstLine="554" w:firstLineChars="19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4.采购组织单位现场复核内容超出规定范围的；</w:t>
      </w:r>
    </w:p>
    <w:p>
      <w:pPr>
        <w:snapToGrid w:val="0"/>
        <w:spacing w:line="500" w:lineRule="exact"/>
        <w:ind w:firstLine="554" w:firstLineChars="19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5.采购组织单位未提供书面建议的。</w:t>
      </w:r>
    </w:p>
    <w:bookmarkEnd w:id="360"/>
    <w:bookmarkEnd w:id="361"/>
    <w:bookmarkEnd w:id="362"/>
    <w:bookmarkEnd w:id="363"/>
    <w:bookmarkEnd w:id="364"/>
    <w:bookmarkEnd w:id="365"/>
    <w:bookmarkEnd w:id="366"/>
    <w:bookmarkEnd w:id="367"/>
    <w:bookmarkEnd w:id="368"/>
    <w:bookmarkEnd w:id="369"/>
    <w:bookmarkEnd w:id="370"/>
    <w:bookmarkEnd w:id="371"/>
    <w:bookmarkEnd w:id="372"/>
    <w:p>
      <w:pPr>
        <w:pStyle w:val="5"/>
        <w:spacing w:line="500" w:lineRule="exact"/>
        <w:rPr>
          <w:rFonts w:hint="eastAsia" w:ascii="方正仿宋_GBK" w:hAnsi="方正仿宋_GBK" w:eastAsia="方正仿宋_GBK" w:cs="方正仿宋_GBK"/>
        </w:rPr>
      </w:pPr>
      <w:bookmarkStart w:id="407" w:name="_Toc63765824"/>
      <w:bookmarkStart w:id="408" w:name="_Toc22275"/>
      <w:bookmarkStart w:id="409" w:name="_Toc31652"/>
      <w:bookmarkStart w:id="410" w:name="_Toc10354"/>
      <w:r>
        <w:rPr>
          <w:rFonts w:hint="eastAsia" w:ascii="方正仿宋_GBK" w:hAnsi="方正仿宋_GBK" w:eastAsia="方正仿宋_GBK" w:cs="方正仿宋_GBK"/>
        </w:rPr>
        <w:t>九、供应商澄清、说明、更正</w:t>
      </w:r>
      <w:bookmarkEnd w:id="407"/>
      <w:bookmarkEnd w:id="408"/>
      <w:bookmarkEnd w:id="409"/>
      <w:bookmarkEnd w:id="410"/>
    </w:p>
    <w:p>
      <w:pPr>
        <w:snapToGrid w:val="0"/>
        <w:spacing w:line="500" w:lineRule="exact"/>
        <w:ind w:firstLine="554" w:firstLineChars="19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napToGrid w:val="0"/>
        <w:spacing w:line="500" w:lineRule="exact"/>
        <w:ind w:firstLine="554" w:firstLineChars="19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（二）磋商小组要求供应商澄清、说明或者更正响应文件应当以书面形式作出。</w:t>
      </w:r>
    </w:p>
    <w:p>
      <w:pPr>
        <w:snapToGrid w:val="0"/>
        <w:spacing w:line="500" w:lineRule="exact"/>
        <w:ind w:firstLine="554" w:firstLineChars="19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（三）供应商的澄清、说明或者更正材料应当以.PDF格式的文件通过数字证书签章后上传到</w:t>
      </w:r>
      <w:r>
        <w:rPr>
          <w:rFonts w:hint="eastAsia" w:ascii="方正仿宋_GBK" w:hAnsi="方正仿宋_GBK" w:eastAsia="方正仿宋_GBK" w:cs="方正仿宋_GBK"/>
          <w:sz w:val="28"/>
          <w:szCs w:val="28"/>
          <w:lang w:eastAsia="zh-CN"/>
        </w:rPr>
        <w:t>巴中</w:t>
      </w:r>
      <w:r>
        <w:rPr>
          <w:rFonts w:hint="eastAsia" w:ascii="方正仿宋_GBK" w:hAnsi="方正仿宋_GBK" w:eastAsia="方正仿宋_GBK" w:cs="方正仿宋_GBK"/>
          <w:sz w:val="28"/>
          <w:szCs w:val="28"/>
        </w:rPr>
        <w:t>市电子化政府采购投标书编制系统，否则视为供应商未作出澄清、说明或者更正。</w:t>
      </w:r>
    </w:p>
    <w:p>
      <w:pPr>
        <w:snapToGrid w:val="0"/>
        <w:spacing w:line="500" w:lineRule="exact"/>
        <w:ind w:firstLine="554" w:firstLineChars="19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（四）供应商报价如果出现下列不一致的，可按以下原则进行修改：</w:t>
      </w:r>
    </w:p>
    <w:p>
      <w:pPr>
        <w:snapToGrid w:val="0"/>
        <w:spacing w:line="500" w:lineRule="exact"/>
        <w:ind w:firstLine="554" w:firstLineChars="19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1.大写金额和小写金额不一致的，以大写金额为准，但大写金额文字存在错误的，应当先对大写金额的文字错误进行澄清、说明或者更正，再行修正。</w:t>
      </w:r>
    </w:p>
    <w:p>
      <w:pPr>
        <w:snapToGrid w:val="0"/>
        <w:spacing w:line="500" w:lineRule="exact"/>
        <w:ind w:firstLine="554" w:firstLineChars="19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2.总价金额与按单价汇总金额不一致的，以单价金额计算结果为准，但单价或者单价汇总金额存在数字或者文字错误的，应当先对数字或者文字错误进行澄清、说明或者更正，再行修正。</w:t>
      </w:r>
    </w:p>
    <w:p>
      <w:pPr>
        <w:snapToGrid w:val="0"/>
        <w:spacing w:line="500" w:lineRule="exact"/>
        <w:ind w:firstLine="554" w:firstLineChars="19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3.单价金额小数点或者百分比有明显错位的，以总价为准，修正单价。</w:t>
      </w:r>
    </w:p>
    <w:p>
      <w:pPr>
        <w:spacing w:line="50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同时出现两种以上不一致的，按照上述规定的顺序修正。修正后的报价经供应商确认后产生约束力，供应商不确认的，其响应文件作为无效处理。</w:t>
      </w:r>
    </w:p>
    <w:p>
      <w:pPr>
        <w:snapToGrid w:val="0"/>
        <w:spacing w:line="500" w:lineRule="exact"/>
        <w:ind w:firstLine="554" w:firstLineChars="19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（五）有效的澄清、说明或者更正材料，是响应文件的组成部分。</w:t>
      </w:r>
    </w:p>
    <w:p>
      <w:pPr>
        <w:pStyle w:val="5"/>
        <w:spacing w:line="500" w:lineRule="exact"/>
        <w:rPr>
          <w:rFonts w:hint="eastAsia" w:ascii="方正仿宋_GBK" w:hAnsi="方正仿宋_GBK" w:eastAsia="方正仿宋_GBK" w:cs="方正仿宋_GBK"/>
        </w:rPr>
      </w:pPr>
      <w:bookmarkStart w:id="411" w:name="_Toc14403"/>
      <w:bookmarkStart w:id="412" w:name="_Toc63765825"/>
      <w:bookmarkStart w:id="413" w:name="_Toc27501"/>
      <w:bookmarkStart w:id="414" w:name="_Toc18053"/>
      <w:r>
        <w:rPr>
          <w:rFonts w:hint="eastAsia" w:ascii="方正仿宋_GBK" w:hAnsi="方正仿宋_GBK" w:eastAsia="方正仿宋_GBK" w:cs="方正仿宋_GBK"/>
        </w:rPr>
        <w:t>十、推荐成交候选供应商和出具磋商报告</w:t>
      </w:r>
      <w:bookmarkEnd w:id="411"/>
      <w:bookmarkEnd w:id="412"/>
      <w:bookmarkEnd w:id="413"/>
      <w:bookmarkEnd w:id="414"/>
    </w:p>
    <w:p>
      <w:pPr>
        <w:spacing w:line="500" w:lineRule="exact"/>
        <w:ind w:firstLine="420" w:firstLineChars="15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磋商小组应按照评审后供应商得分由高到低的顺序，推荐成交候选供应商。供应商得分相同的，按最后报价由低到高顺序排列。得分且最后报价相同的，按照技术指标优劣顺序推荐。供应商得分且最后报价且技术指标分项得分均相同的，成交候选供应商并列。</w:t>
      </w:r>
    </w:p>
    <w:p>
      <w:pPr>
        <w:spacing w:line="500" w:lineRule="exact"/>
        <w:ind w:firstLine="420" w:firstLineChars="15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（二）磋商小组推荐成交候选供应商后，应当向采购组织单位出具磋商报告。</w:t>
      </w:r>
    </w:p>
    <w:p>
      <w:pPr>
        <w:spacing w:line="500" w:lineRule="exact"/>
        <w:ind w:firstLine="420" w:firstLineChars="15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（三）磋商报告应当包括下列内容：</w:t>
      </w:r>
    </w:p>
    <w:p>
      <w:pPr>
        <w:spacing w:line="500" w:lineRule="exact"/>
        <w:ind w:firstLine="420" w:firstLineChars="15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1.邀请供应商参加采购活动的具体方式和相关情况，以及参加采购活动的供应商名单；</w:t>
      </w:r>
    </w:p>
    <w:p>
      <w:pPr>
        <w:spacing w:line="500" w:lineRule="exact"/>
        <w:ind w:firstLine="420" w:firstLineChars="15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2.磋商日期和地点，评审委员会成员名单；</w:t>
      </w:r>
    </w:p>
    <w:p>
      <w:pPr>
        <w:spacing w:line="500" w:lineRule="exact"/>
        <w:ind w:firstLine="420" w:firstLineChars="15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3.参加报价的供应商名单及报价情况和未参加报价的供应商名单及原因；</w:t>
      </w:r>
    </w:p>
    <w:p>
      <w:pPr>
        <w:spacing w:line="500" w:lineRule="exact"/>
        <w:ind w:firstLine="420" w:firstLineChars="15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4.变动磋商文件实质性内容的有关资料及记录；</w:t>
      </w:r>
    </w:p>
    <w:p>
      <w:pPr>
        <w:spacing w:line="500" w:lineRule="exact"/>
        <w:ind w:firstLine="420" w:firstLineChars="15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5.供应商响应文件响应磋商文件实质性要求情况及供应商变动响应文件有关资料及记录；</w:t>
      </w:r>
    </w:p>
    <w:p>
      <w:pPr>
        <w:spacing w:line="500" w:lineRule="exact"/>
        <w:ind w:firstLine="420" w:firstLineChars="15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6.磋商情况记录和说明，包括对供应商的书面审查情况、供应商响应文件磋商情况等；</w:t>
      </w:r>
    </w:p>
    <w:p>
      <w:pPr>
        <w:spacing w:line="500" w:lineRule="exact"/>
        <w:ind w:firstLine="420" w:firstLineChars="15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7.推荐的成交候选供应商名单及理由。</w:t>
      </w:r>
    </w:p>
    <w:p>
      <w:pPr>
        <w:spacing w:line="500" w:lineRule="exact"/>
        <w:ind w:firstLine="420" w:firstLineChars="15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pStyle w:val="5"/>
        <w:spacing w:line="500" w:lineRule="exact"/>
        <w:rPr>
          <w:rFonts w:hint="eastAsia" w:ascii="方正仿宋_GBK" w:hAnsi="方正仿宋_GBK" w:eastAsia="方正仿宋_GBK" w:cs="方正仿宋_GBK"/>
        </w:rPr>
      </w:pPr>
      <w:bookmarkStart w:id="415" w:name="_Toc9407"/>
      <w:bookmarkStart w:id="416" w:name="_Toc63765826"/>
      <w:bookmarkStart w:id="417" w:name="_Toc27942"/>
      <w:bookmarkStart w:id="418" w:name="_Toc24246"/>
      <w:r>
        <w:rPr>
          <w:rFonts w:hint="eastAsia" w:ascii="方正仿宋_GBK" w:hAnsi="方正仿宋_GBK" w:eastAsia="方正仿宋_GBK" w:cs="方正仿宋_GBK"/>
        </w:rPr>
        <w:t>十一、评审工作纪律</w:t>
      </w:r>
      <w:bookmarkEnd w:id="415"/>
      <w:bookmarkEnd w:id="416"/>
      <w:bookmarkEnd w:id="417"/>
      <w:bookmarkEnd w:id="418"/>
    </w:p>
    <w:p>
      <w:pPr>
        <w:snapToGrid w:val="0"/>
        <w:spacing w:line="500" w:lineRule="exact"/>
        <w:ind w:firstLine="554" w:firstLineChars="19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（一）磋商小组在采购活动过程中，应当按照《中华人民共和国政府采购法实施条例》、《政府采购竞争性磋商采购方式管理暂行办法》的规定履行职责和义务，不得违法评审、违反评审工作纪律。</w:t>
      </w:r>
    </w:p>
    <w:p>
      <w:pPr>
        <w:snapToGrid w:val="0"/>
        <w:spacing w:line="500" w:lineRule="exact"/>
        <w:ind w:firstLine="554" w:firstLineChars="19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（二）评审过程在严格保密的情况下进行，任何单位和个人不得非法干预、影响磋商过程和结果。</w:t>
      </w:r>
    </w:p>
    <w:p>
      <w:pPr>
        <w:snapToGrid w:val="0"/>
        <w:spacing w:line="500" w:lineRule="exact"/>
        <w:ind w:firstLine="554" w:firstLineChars="19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（三）磋商小组成员以及与评审工作有关的人员不得泄露评审情况以及评审过程中获悉的国家秘密、商业秘密。</w:t>
      </w:r>
    </w:p>
    <w:p>
      <w:pPr>
        <w:snapToGrid w:val="0"/>
        <w:spacing w:line="500" w:lineRule="exact"/>
        <w:ind w:firstLine="554" w:firstLineChars="19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（四）磋商小组成员应当遵守下列工作纪律：</w:t>
      </w:r>
    </w:p>
    <w:p>
      <w:pPr>
        <w:snapToGrid w:val="0"/>
        <w:spacing w:line="500" w:lineRule="exact"/>
        <w:ind w:firstLine="554" w:firstLineChars="19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1.遵行《政府采购法》第十二条和《政府采购法实施条例》第九条及财政部关于回避的规定；</w:t>
      </w:r>
    </w:p>
    <w:p>
      <w:pPr>
        <w:snapToGrid w:val="0"/>
        <w:spacing w:line="500" w:lineRule="exact"/>
        <w:ind w:firstLine="554" w:firstLineChars="19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2.评审前，应当将通讯工具或者相关电子设备交由采购组织单位统一保管；</w:t>
      </w:r>
    </w:p>
    <w:p>
      <w:pPr>
        <w:pageBreakBefore w:val="0"/>
        <w:widowControl w:val="0"/>
        <w:kinsoku/>
        <w:wordWrap/>
        <w:overflowPunct/>
        <w:topLinePunct w:val="0"/>
        <w:autoSpaceDE/>
        <w:autoSpaceDN/>
        <w:bidi w:val="0"/>
        <w:adjustRightInd/>
        <w:snapToGrid w:val="0"/>
        <w:spacing w:line="480" w:lineRule="exact"/>
        <w:ind w:firstLine="554" w:firstLineChars="198"/>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3.评审过程中，不得与外界联系，因发生不可预见情况，确实需要与外界联系的，应当在监督人员监督之下办理；</w:t>
      </w:r>
    </w:p>
    <w:p>
      <w:pPr>
        <w:pageBreakBefore w:val="0"/>
        <w:widowControl w:val="0"/>
        <w:kinsoku/>
        <w:wordWrap/>
        <w:overflowPunct/>
        <w:topLinePunct w:val="0"/>
        <w:autoSpaceDE/>
        <w:autoSpaceDN/>
        <w:bidi w:val="0"/>
        <w:adjustRightInd/>
        <w:snapToGrid w:val="0"/>
        <w:spacing w:line="480" w:lineRule="exact"/>
        <w:ind w:firstLine="554" w:firstLineChars="198"/>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评审过程中，不得干预或者影响正常评审工作，不得发表倾向性、引导性意见，不得修改或细化采购文件确定的评审程序、评审方法、评审因素和评审标准，不得接受供应商主动提出的澄清和解释，不得征询采购人代表的意见，不得违反规定撰写评审意见，不得拒绝对自己的评审意见签字确认；</w:t>
      </w:r>
    </w:p>
    <w:p>
      <w:pPr>
        <w:pageBreakBefore w:val="0"/>
        <w:widowControl w:val="0"/>
        <w:kinsoku/>
        <w:wordWrap/>
        <w:overflowPunct/>
        <w:topLinePunct w:val="0"/>
        <w:autoSpaceDE/>
        <w:autoSpaceDN/>
        <w:bidi w:val="0"/>
        <w:adjustRightInd/>
        <w:snapToGrid w:val="0"/>
        <w:spacing w:line="480" w:lineRule="exact"/>
        <w:ind w:firstLine="554" w:firstLineChars="198"/>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5.在评审过程中和评审结束后，不得记录、复制或带走任何评审资料，除因履行法律法规规定的义务外，不得向外界透露评审内容；</w:t>
      </w:r>
    </w:p>
    <w:p>
      <w:pPr>
        <w:pageBreakBefore w:val="0"/>
        <w:widowControl w:val="0"/>
        <w:kinsoku/>
        <w:wordWrap/>
        <w:overflowPunct/>
        <w:topLinePunct w:val="0"/>
        <w:autoSpaceDE/>
        <w:autoSpaceDN/>
        <w:bidi w:val="0"/>
        <w:adjustRightInd/>
        <w:snapToGrid w:val="0"/>
        <w:spacing w:line="480" w:lineRule="exact"/>
        <w:ind w:firstLine="554" w:firstLineChars="198"/>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6.服从评审现场采购组织单位的现场秩序管理，接受评审现场监督人员的合法监督；</w:t>
      </w:r>
    </w:p>
    <w:p>
      <w:pPr>
        <w:pageBreakBefore w:val="0"/>
        <w:widowControl w:val="0"/>
        <w:kinsoku/>
        <w:wordWrap/>
        <w:overflowPunct/>
        <w:topLinePunct w:val="0"/>
        <w:autoSpaceDE/>
        <w:autoSpaceDN/>
        <w:bidi w:val="0"/>
        <w:adjustRightInd/>
        <w:snapToGrid w:val="0"/>
        <w:spacing w:line="480" w:lineRule="exact"/>
        <w:ind w:firstLine="554" w:firstLineChars="198"/>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7.遵守有关廉洁自律规定，不得私下接触供应商，不得收受供应商及有关业务单位和个人的财物或好处，不得接受采购组织单位的请托。</w:t>
      </w:r>
    </w:p>
    <w:p>
      <w:pPr>
        <w:pStyle w:val="5"/>
        <w:pageBreakBefore w:val="0"/>
        <w:widowControl w:val="0"/>
        <w:kinsoku/>
        <w:wordWrap/>
        <w:overflowPunct/>
        <w:topLinePunct w:val="0"/>
        <w:autoSpaceDE/>
        <w:autoSpaceDN/>
        <w:bidi w:val="0"/>
        <w:adjustRightInd/>
        <w:spacing w:line="480" w:lineRule="exact"/>
        <w:textAlignment w:val="auto"/>
        <w:rPr>
          <w:rFonts w:hint="eastAsia" w:ascii="方正仿宋_GBK" w:hAnsi="方正仿宋_GBK" w:eastAsia="方正仿宋_GBK" w:cs="方正仿宋_GBK"/>
        </w:rPr>
      </w:pPr>
      <w:bookmarkStart w:id="419" w:name="_Toc63765827"/>
      <w:bookmarkStart w:id="420" w:name="_Toc32582"/>
      <w:bookmarkStart w:id="421" w:name="_Toc28974"/>
      <w:bookmarkStart w:id="422" w:name="_Toc7634"/>
      <w:r>
        <w:rPr>
          <w:rFonts w:hint="eastAsia" w:ascii="方正仿宋_GBK" w:hAnsi="方正仿宋_GBK" w:eastAsia="方正仿宋_GBK" w:cs="方正仿宋_GBK"/>
        </w:rPr>
        <w:t>十二、确定成交供应商、发布成交结果公告和发出成交通知书</w:t>
      </w:r>
      <w:bookmarkEnd w:id="419"/>
      <w:bookmarkEnd w:id="420"/>
      <w:bookmarkEnd w:id="421"/>
      <w:bookmarkEnd w:id="422"/>
    </w:p>
    <w:p>
      <w:pPr>
        <w:pageBreakBefore w:val="0"/>
        <w:widowControl w:val="0"/>
        <w:kinsoku/>
        <w:wordWrap/>
        <w:overflowPunct/>
        <w:topLinePunct w:val="0"/>
        <w:autoSpaceDE/>
        <w:autoSpaceDN/>
        <w:bidi w:val="0"/>
        <w:adjustRightInd/>
        <w:snapToGrid w:val="0"/>
        <w:spacing w:line="480" w:lineRule="exact"/>
        <w:ind w:firstLine="554" w:firstLineChars="198"/>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（一）磋商结束后，</w:t>
      </w:r>
      <w:bookmarkStart w:id="423" w:name="【Bobole_代理机构名称_148】"/>
      <w:r>
        <w:rPr>
          <w:rFonts w:hint="eastAsia" w:ascii="方正仿宋_GBK" w:hAnsi="方正仿宋_GBK" w:eastAsia="方正仿宋_GBK" w:cs="方正仿宋_GBK"/>
          <w:sz w:val="28"/>
          <w:szCs w:val="28"/>
        </w:rPr>
        <w:t>四川振嘉工程招标代理有限公司</w:t>
      </w:r>
      <w:bookmarkEnd w:id="423"/>
      <w:r>
        <w:rPr>
          <w:rFonts w:hint="eastAsia" w:ascii="方正仿宋_GBK" w:hAnsi="方正仿宋_GBK" w:eastAsia="方正仿宋_GBK" w:cs="方正仿宋_GBK"/>
          <w:sz w:val="28"/>
          <w:szCs w:val="28"/>
        </w:rPr>
        <w:t>应当在2个工作日内将磋商报告及有关资料送交采购人。</w:t>
      </w:r>
    </w:p>
    <w:p>
      <w:pPr>
        <w:pageBreakBefore w:val="0"/>
        <w:widowControl w:val="0"/>
        <w:kinsoku/>
        <w:wordWrap/>
        <w:overflowPunct/>
        <w:topLinePunct w:val="0"/>
        <w:autoSpaceDE/>
        <w:autoSpaceDN/>
        <w:bidi w:val="0"/>
        <w:adjustRightInd/>
        <w:snapToGrid w:val="0"/>
        <w:spacing w:line="480" w:lineRule="exact"/>
        <w:ind w:firstLine="554" w:firstLineChars="198"/>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（二）采购人收到磋商报告后，应当在5个工作日以内确定成交供应商，并向</w:t>
      </w:r>
      <w:bookmarkStart w:id="424" w:name="【Bobole_代理机构名称_149】"/>
      <w:r>
        <w:rPr>
          <w:rFonts w:hint="eastAsia" w:ascii="方正仿宋_GBK" w:hAnsi="方正仿宋_GBK" w:eastAsia="方正仿宋_GBK" w:cs="方正仿宋_GBK"/>
          <w:sz w:val="28"/>
          <w:szCs w:val="28"/>
        </w:rPr>
        <w:t>四川振嘉工程招标代理有限公司</w:t>
      </w:r>
      <w:bookmarkEnd w:id="424"/>
      <w:r>
        <w:rPr>
          <w:rFonts w:hint="eastAsia" w:ascii="方正仿宋_GBK" w:hAnsi="方正仿宋_GBK" w:eastAsia="方正仿宋_GBK" w:cs="方正仿宋_GBK"/>
          <w:sz w:val="28"/>
          <w:szCs w:val="28"/>
        </w:rPr>
        <w:t>出具成交供应商确认书。采购人应当按磋商报告中成交候选供应商的排名顺序确定成交供应商。</w:t>
      </w:r>
    </w:p>
    <w:p>
      <w:pPr>
        <w:pageBreakBefore w:val="0"/>
        <w:widowControl w:val="0"/>
        <w:kinsoku/>
        <w:wordWrap/>
        <w:overflowPunct/>
        <w:topLinePunct w:val="0"/>
        <w:autoSpaceDE/>
        <w:autoSpaceDN/>
        <w:bidi w:val="0"/>
        <w:adjustRightInd/>
        <w:snapToGrid w:val="0"/>
        <w:spacing w:line="480" w:lineRule="exact"/>
        <w:ind w:firstLine="554" w:firstLineChars="198"/>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w:t>
      </w:r>
      <w:bookmarkStart w:id="425" w:name="【Bobole_代理机构名称_150】"/>
      <w:r>
        <w:rPr>
          <w:rFonts w:hint="eastAsia" w:ascii="方正仿宋_GBK" w:hAnsi="方正仿宋_GBK" w:eastAsia="方正仿宋_GBK" w:cs="方正仿宋_GBK"/>
          <w:sz w:val="28"/>
          <w:szCs w:val="28"/>
        </w:rPr>
        <w:t>四川振嘉工程招标代理有限公司</w:t>
      </w:r>
      <w:bookmarkEnd w:id="425"/>
      <w:r>
        <w:rPr>
          <w:rFonts w:hint="eastAsia" w:ascii="方正仿宋_GBK" w:hAnsi="方正仿宋_GBK" w:eastAsia="方正仿宋_GBK" w:cs="方正仿宋_GBK"/>
          <w:sz w:val="28"/>
          <w:szCs w:val="28"/>
        </w:rPr>
        <w:t>将自收到成交供应商确认书的1个工作日内，在指定媒体发布成交结果公告并同时发出成交通知书。</w:t>
      </w:r>
    </w:p>
    <w:p>
      <w:pPr>
        <w:widowControl/>
        <w:jc w:val="left"/>
        <w:rPr>
          <w:rFonts w:hint="eastAsia" w:ascii="方正仿宋_GBK" w:hAnsi="方正仿宋_GBK" w:eastAsia="方正仿宋_GBK" w:cs="方正仿宋_GBK"/>
          <w:b/>
          <w:color w:val="000000"/>
          <w:sz w:val="44"/>
        </w:rPr>
      </w:pPr>
      <w:r>
        <w:rPr>
          <w:rFonts w:hint="eastAsia" w:ascii="方正仿宋_GBK" w:hAnsi="方正仿宋_GBK" w:eastAsia="方正仿宋_GBK" w:cs="方正仿宋_GBK"/>
          <w:b/>
          <w:color w:val="000000"/>
          <w:sz w:val="44"/>
        </w:rPr>
        <w:br w:type="page"/>
      </w:r>
    </w:p>
    <w:p>
      <w:pPr>
        <w:pStyle w:val="2"/>
        <w:spacing w:before="0" w:after="0" w:line="240" w:lineRule="auto"/>
        <w:jc w:val="center"/>
        <w:rPr>
          <w:rFonts w:hint="eastAsia" w:ascii="方正仿宋_GBK" w:hAnsi="方正仿宋_GBK" w:eastAsia="方正仿宋_GBK" w:cs="方正仿宋_GBK"/>
          <w:bCs/>
          <w:color w:val="000000"/>
          <w:sz w:val="36"/>
          <w:szCs w:val="36"/>
        </w:rPr>
      </w:pPr>
      <w:bookmarkStart w:id="426" w:name="_Toc5165"/>
      <w:bookmarkStart w:id="427" w:name="_Toc63765828"/>
      <w:bookmarkStart w:id="428" w:name="_Toc23984"/>
      <w:bookmarkStart w:id="429" w:name="_Toc2651"/>
      <w:bookmarkStart w:id="430" w:name="_Toc27810"/>
      <w:bookmarkStart w:id="431" w:name="_Toc18616"/>
      <w:r>
        <w:rPr>
          <w:rFonts w:hint="eastAsia" w:ascii="方正仿宋_GBK" w:hAnsi="方正仿宋_GBK" w:eastAsia="方正仿宋_GBK" w:cs="方正仿宋_GBK"/>
          <w:bCs/>
          <w:color w:val="000000"/>
          <w:sz w:val="36"/>
          <w:szCs w:val="36"/>
        </w:rPr>
        <w:t>第七章 合同草案条款</w:t>
      </w:r>
      <w:bookmarkEnd w:id="426"/>
      <w:bookmarkEnd w:id="427"/>
      <w:bookmarkEnd w:id="428"/>
      <w:bookmarkEnd w:id="429"/>
      <w:bookmarkEnd w:id="430"/>
      <w:bookmarkEnd w:id="431"/>
    </w:p>
    <w:p>
      <w:pPr>
        <w:spacing w:line="480" w:lineRule="exact"/>
        <w:rPr>
          <w:rFonts w:hint="eastAsia" w:ascii="方正仿宋_GBK" w:hAnsi="方正仿宋_GBK" w:eastAsia="方正仿宋_GBK" w:cs="方正仿宋_GBK"/>
          <w:sz w:val="28"/>
        </w:rPr>
      </w:pP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合同编号：______</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签订地点：______</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签订时间：______年______月______日</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采购人（甲方）：______</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供应商（乙方）：______</w:t>
      </w:r>
    </w:p>
    <w:p>
      <w:pPr>
        <w:spacing w:line="400" w:lineRule="exact"/>
        <w:rPr>
          <w:rFonts w:hint="eastAsia" w:ascii="方正仿宋_GBK" w:hAnsi="方正仿宋_GBK" w:eastAsia="方正仿宋_GBK" w:cs="方正仿宋_GBK"/>
          <w:sz w:val="28"/>
          <w:szCs w:val="28"/>
        </w:rPr>
      </w:pP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中华人民共和国政府采购法》、《中华人民共和国民法典》及____采购项目（项目编号：）的《磋商文件》、乙方的《响应文件》及《成交通知书》，甲、乙双方同意签订本合同。详细技术说明及其他有关合同项目的特定信息由合同附件予以说明，合同附件及本项目的磋商文件、响应文件、《成交通知书》等均为本合同不可分割的部分。双方同意共同遵守如下条款：</w:t>
      </w:r>
    </w:p>
    <w:p>
      <w:pPr>
        <w:spacing w:line="400" w:lineRule="exact"/>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第一条：合同标的</w:t>
      </w:r>
    </w:p>
    <w:tbl>
      <w:tblPr>
        <w:tblStyle w:val="13"/>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58"/>
        <w:gridCol w:w="3259"/>
        <w:gridCol w:w="1696"/>
        <w:gridCol w:w="26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56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sz w:val="24"/>
              </w:rPr>
            </w:pPr>
            <w:r>
              <w:rPr>
                <w:rFonts w:hint="eastAsia" w:ascii="方正仿宋_GBK" w:hAnsi="方正仿宋_GBK" w:eastAsia="方正仿宋_GBK" w:cs="方正仿宋_GBK"/>
                <w:b/>
                <w:sz w:val="24"/>
              </w:rPr>
              <w:t>序号</w:t>
            </w:r>
          </w:p>
        </w:tc>
        <w:tc>
          <w:tcPr>
            <w:tcW w:w="191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sz w:val="24"/>
              </w:rPr>
            </w:pPr>
            <w:r>
              <w:rPr>
                <w:rFonts w:hint="eastAsia" w:ascii="方正仿宋_GBK" w:hAnsi="方正仿宋_GBK" w:eastAsia="方正仿宋_GBK" w:cs="方正仿宋_GBK"/>
                <w:b/>
                <w:sz w:val="24"/>
              </w:rPr>
              <w:t>采购内容</w:t>
            </w:r>
          </w:p>
        </w:tc>
        <w:tc>
          <w:tcPr>
            <w:tcW w:w="99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sz w:val="24"/>
              </w:rPr>
            </w:pPr>
            <w:r>
              <w:rPr>
                <w:rFonts w:hint="eastAsia" w:ascii="方正仿宋_GBK" w:hAnsi="方正仿宋_GBK" w:eastAsia="方正仿宋_GBK" w:cs="方正仿宋_GBK"/>
                <w:b/>
                <w:sz w:val="24"/>
              </w:rPr>
              <w:t>数量</w:t>
            </w:r>
          </w:p>
        </w:tc>
        <w:tc>
          <w:tcPr>
            <w:tcW w:w="153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sz w:val="24"/>
              </w:rPr>
            </w:pPr>
            <w:r>
              <w:rPr>
                <w:rFonts w:hint="eastAsia" w:ascii="方正仿宋_GBK" w:hAnsi="方正仿宋_GBK" w:eastAsia="方正仿宋_GBK" w:cs="方正仿宋_GBK"/>
                <w:b/>
                <w:sz w:val="24"/>
              </w:rPr>
              <w:t xml:space="preserve"> 报价（元）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7" w:hRule="atLeast"/>
          <w:jc w:val="center"/>
        </w:trPr>
        <w:tc>
          <w:tcPr>
            <w:tcW w:w="56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1</w:t>
            </w:r>
          </w:p>
        </w:tc>
        <w:tc>
          <w:tcPr>
            <w:tcW w:w="191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w:t>
            </w:r>
          </w:p>
        </w:tc>
        <w:tc>
          <w:tcPr>
            <w:tcW w:w="99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w:t>
            </w:r>
          </w:p>
        </w:tc>
        <w:tc>
          <w:tcPr>
            <w:tcW w:w="153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sz w:val="24"/>
              </w:rPr>
            </w:pPr>
          </w:p>
        </w:tc>
      </w:tr>
    </w:tbl>
    <w:p>
      <w:pPr>
        <w:spacing w:line="400" w:lineRule="exact"/>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第二条：合同总价</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价为人民币元（大写：________），即；该合同总价已包括物料、人工、印制服务、保险、其他服务、税费等及磋商文件规定的其它费用，即“包干价”。本合同执行期间合同总价不变，甲方无须另向乙方支付本合同规定之外的其他任何费用。</w:t>
      </w:r>
    </w:p>
    <w:p>
      <w:pPr>
        <w:spacing w:line="400" w:lineRule="exact"/>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第三条：服务内容与质量标准</w:t>
      </w:r>
    </w:p>
    <w:p>
      <w:pPr>
        <w:spacing w:line="4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1.________；</w:t>
      </w:r>
    </w:p>
    <w:p>
      <w:pPr>
        <w:spacing w:line="4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2.________；</w:t>
      </w:r>
    </w:p>
    <w:p>
      <w:pPr>
        <w:spacing w:line="4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3.________；</w:t>
      </w:r>
    </w:p>
    <w:p>
      <w:pPr>
        <w:spacing w:line="4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w:t>
      </w:r>
    </w:p>
    <w:p>
      <w:pPr>
        <w:spacing w:line="400" w:lineRule="exact"/>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第四条：服务费用支付方式（不支持预付款）</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合同价款按季度支付，应支付的合同价款按单价、数量的算术相乘予以计算；供应商应向采购人提供有关票据，采购人将在收到供应商支付请求后的5个工作日内完成支付；本项目未支付的合同价款不计利息。</w:t>
      </w:r>
    </w:p>
    <w:p>
      <w:pPr>
        <w:spacing w:line="400" w:lineRule="exact"/>
        <w:ind w:firstLine="482" w:firstLineChars="200"/>
        <w:rPr>
          <w:rFonts w:hint="eastAsia" w:ascii="方正仿宋_GBK" w:hAnsi="方正仿宋_GBK" w:eastAsia="方正仿宋_GBK" w:cs="方正仿宋_GBK"/>
          <w:b/>
          <w:sz w:val="24"/>
        </w:rPr>
      </w:pPr>
    </w:p>
    <w:p>
      <w:pPr>
        <w:spacing w:line="400" w:lineRule="exact"/>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第五条：知识产权</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乙方应保证所提供的服务或其任何一部分均不会侵犯任何第三方的专利权、商标权或著作权。</w:t>
      </w:r>
    </w:p>
    <w:p>
      <w:pPr>
        <w:spacing w:line="400" w:lineRule="exact"/>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第六条：无产权瑕疵条款</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乙方保证所提供的服务的所有权完全属于乙方且无任何抵押、查封等产权瑕疵。如有产权瑕疵的，视为乙方违约。乙方应负担由此而产生的一切损失。</w:t>
      </w:r>
    </w:p>
    <w:p>
      <w:pPr>
        <w:spacing w:line="400" w:lineRule="exact"/>
        <w:ind w:firstLine="562" w:firstLineChars="200"/>
        <w:rPr>
          <w:rFonts w:hint="eastAsia" w:ascii="方正仿宋_GBK" w:hAnsi="方正仿宋_GBK" w:eastAsia="方正仿宋_GBK" w:cs="方正仿宋_GBK"/>
          <w:b/>
          <w:sz w:val="24"/>
        </w:rPr>
      </w:pPr>
      <w:r>
        <w:rPr>
          <w:rFonts w:hint="eastAsia" w:ascii="方正仿宋_GBK" w:hAnsi="方正仿宋_GBK" w:eastAsia="方正仿宋_GBK" w:cs="方正仿宋_GBK"/>
          <w:b/>
          <w:sz w:val="28"/>
          <w:szCs w:val="28"/>
        </w:rPr>
        <w:t>第七条：甲方的权利和义务</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1.甲方有权对合同规定范围内乙方的服务行为进行监督和检查，拥有监管权。有权定期核对乙方提供服务所配备的人员数量。对甲方认为不合理的部分有权下达整改通知书，并要求乙方限期整改。</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2.甲方有权依据双方签订的考评办法对乙方提供的服务进行定期考评。当考评结果未达到标准时，有权依据考评办法约定的数额扣除履约担保。</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3.负责检查监督乙方管理工作的实施及制度的执行情况。</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4.根据本合同规定，按时向乙方支付应付服务费用。</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5.国家法律、法规所规定由甲方承担的其它责任。</w:t>
      </w:r>
    </w:p>
    <w:p>
      <w:pPr>
        <w:spacing w:line="400" w:lineRule="exact"/>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第八条：乙方的权利和义务</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1.对本合同规定的委托服务范围内的项目享有管理权及服务义务。</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2.根据本合同的规定向甲方收取相关服务费用，并有权在本项目管理范围内管理及合理使用。</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3.及时向甲方通告本项目服务范围内有关服务的重大事项，及时配合处理投诉。</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4.接受项目行业管理部门及政府有关部门的指导，接受甲方的监督。</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5.国家法律、法规所规定由乙方承担的其它责任。</w:t>
      </w:r>
    </w:p>
    <w:p>
      <w:pPr>
        <w:spacing w:line="400" w:lineRule="exact"/>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第九条：违约责任</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1.甲乙双方必须遵守本合同并执行合同中的各项规定，保证本合同的正常履行。</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spacing w:line="400" w:lineRule="exact"/>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第十条：不可抗力事件处理</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1.在合同有效期内，任何一方因不可抗力事件导致不能履行合同，则合同履行期可延长，其延长期与不可抗力影响期相同。</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2.不可抗力事件发生后，应立即通知对方，并寄送有关权威机构出具的证明。</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3.不可抗力事件延续XX天以上，双方应通过友好协商，确定是否继续履行合同。</w:t>
      </w:r>
    </w:p>
    <w:p>
      <w:pPr>
        <w:spacing w:line="400" w:lineRule="exact"/>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第十一条：解决合同纠纷的方式</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1.在执行本合同中发生的或与本合同有关的争端，双方应通过友好协商解决，经协商不能达成协议时，应提交</w:t>
      </w:r>
      <w:r>
        <w:rPr>
          <w:rFonts w:hint="eastAsia" w:ascii="方正仿宋_GBK" w:hAnsi="方正仿宋_GBK" w:eastAsia="方正仿宋_GBK" w:cs="方正仿宋_GBK"/>
          <w:sz w:val="28"/>
          <w:szCs w:val="28"/>
          <w:lang w:eastAsia="zh-CN"/>
        </w:rPr>
        <w:t>巴中</w:t>
      </w:r>
      <w:r>
        <w:rPr>
          <w:rFonts w:hint="eastAsia" w:ascii="方正仿宋_GBK" w:hAnsi="方正仿宋_GBK" w:eastAsia="方正仿宋_GBK" w:cs="方正仿宋_GBK"/>
          <w:sz w:val="28"/>
          <w:szCs w:val="28"/>
        </w:rPr>
        <w:t>市仲裁委员会仲裁或向当地人民法院提起诉讼解决。</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2.仲裁裁决应为最终决定，并对双方具有约束力。</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3.除另有裁决外，仲裁费应由败诉方负担。</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4.在仲裁期间，除正在进行仲裁部分外，合同其他部分继续执行。</w:t>
      </w:r>
    </w:p>
    <w:p>
      <w:pPr>
        <w:spacing w:line="400" w:lineRule="exact"/>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第十二条：合同生效及其他</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1.合同经双方法定代表人或授权委托代理人签字并加盖单位公章后生效。</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2.合同执行中涉及采购资金和采购内容修改或补充的，须经政府采购监管部门审批，并签书面补充协议报政府采购监督管理部门备案，方可作为主合同不可分割的一部分。</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3.本合同一式__份，自双方签章之日起起效。甲方__份，乙方__份，政府采购代理机构__份，同级财政部门备案__份，具有同等法律效力。</w:t>
      </w:r>
    </w:p>
    <w:p>
      <w:pPr>
        <w:spacing w:line="400" w:lineRule="exact"/>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第十三条：附件</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1.项目磋商文件</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2.项目修改澄清文件</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3.项目响应文件</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4.成交通知书</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5.其他</w:t>
      </w:r>
    </w:p>
    <w:p>
      <w:pPr>
        <w:spacing w:line="400" w:lineRule="exact"/>
        <w:ind w:firstLine="560" w:firstLineChars="200"/>
        <w:rPr>
          <w:rFonts w:hint="eastAsia" w:ascii="方正仿宋_GBK" w:hAnsi="方正仿宋_GBK" w:eastAsia="方正仿宋_GBK" w:cs="方正仿宋_GBK"/>
          <w:sz w:val="28"/>
          <w:szCs w:val="28"/>
        </w:rPr>
      </w:pPr>
    </w:p>
    <w:p>
      <w:pPr>
        <w:spacing w:line="400" w:lineRule="exact"/>
        <w:ind w:firstLine="560" w:firstLineChars="200"/>
        <w:rPr>
          <w:rFonts w:hint="eastAsia" w:ascii="方正仿宋_GBK" w:hAnsi="方正仿宋_GBK" w:eastAsia="方正仿宋_GBK" w:cs="方正仿宋_GBK"/>
          <w:sz w:val="28"/>
          <w:szCs w:val="28"/>
        </w:rPr>
      </w:pPr>
    </w:p>
    <w:p>
      <w:pPr>
        <w:spacing w:line="400" w:lineRule="exact"/>
        <w:ind w:firstLine="560" w:firstLineChars="200"/>
        <w:rPr>
          <w:rFonts w:hint="eastAsia" w:ascii="方正仿宋_GBK" w:hAnsi="方正仿宋_GBK" w:eastAsia="方正仿宋_GBK" w:cs="方正仿宋_GBK"/>
          <w:sz w:val="28"/>
          <w:szCs w:val="28"/>
        </w:rPr>
      </w:pPr>
    </w:p>
    <w:p>
      <w:pPr>
        <w:spacing w:line="400" w:lineRule="exact"/>
        <w:ind w:firstLine="560" w:firstLineChars="200"/>
        <w:rPr>
          <w:rFonts w:hint="eastAsia" w:ascii="方正仿宋_GBK" w:hAnsi="方正仿宋_GBK" w:eastAsia="方正仿宋_GBK" w:cs="方正仿宋_GBK"/>
          <w:sz w:val="28"/>
          <w:szCs w:val="28"/>
        </w:rPr>
      </w:pPr>
    </w:p>
    <w:p>
      <w:pPr>
        <w:spacing w:line="40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甲方：   （盖单位公章）   </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 xml:space="preserve">     乙方：   （盖单位公章）</w:t>
      </w:r>
    </w:p>
    <w:p>
      <w:pPr>
        <w:spacing w:line="40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法定代表人（授权代表）：           法定代表人（授权代表）：</w:t>
      </w:r>
    </w:p>
    <w:p>
      <w:pPr>
        <w:spacing w:line="40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地    址：                         地    址：</w:t>
      </w:r>
    </w:p>
    <w:p>
      <w:pPr>
        <w:spacing w:line="40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开户银行：                         开户银行：</w:t>
      </w:r>
    </w:p>
    <w:p>
      <w:pPr>
        <w:spacing w:line="40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账号：                             账号：</w:t>
      </w:r>
    </w:p>
    <w:p>
      <w:pPr>
        <w:spacing w:line="40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    话：                         电    话：</w:t>
      </w:r>
    </w:p>
    <w:p>
      <w:pPr>
        <w:spacing w:line="40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传    真：                         传    真：</w:t>
      </w:r>
    </w:p>
    <w:p>
      <w:pPr>
        <w:spacing w:line="40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签约日期：____年__月__日 </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 xml:space="preserve">  签约日期：____年__月__日</w:t>
      </w:r>
      <w:bookmarkStart w:id="432" w:name="_Toc349810624"/>
      <w:bookmarkEnd w:id="432"/>
      <w:bookmarkStart w:id="433" w:name="_Toc350864527"/>
      <w:bookmarkEnd w:id="433"/>
    </w:p>
    <w:p>
      <w:pPr>
        <w:spacing w:line="400" w:lineRule="exact"/>
        <w:ind w:firstLine="560" w:firstLineChars="200"/>
        <w:rPr>
          <w:rFonts w:hint="eastAsia" w:ascii="方正仿宋_GBK" w:hAnsi="方正仿宋_GBK" w:eastAsia="方正仿宋_GBK" w:cs="方正仿宋_GBK"/>
          <w:sz w:val="28"/>
          <w:szCs w:val="28"/>
        </w:rPr>
      </w:pPr>
    </w:p>
    <w:p>
      <w:pPr>
        <w:spacing w:line="400" w:lineRule="exact"/>
        <w:ind w:firstLine="560" w:firstLineChars="200"/>
        <w:rPr>
          <w:rFonts w:hint="eastAsia" w:ascii="方正仿宋_GBK" w:hAnsi="方正仿宋_GBK" w:eastAsia="方正仿宋_GBK" w:cs="方正仿宋_GBK"/>
          <w:sz w:val="28"/>
          <w:szCs w:val="28"/>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 PAGE </w:instrText>
    </w:r>
    <w:r>
      <w:fldChar w:fldCharType="separate"/>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C2D04C"/>
    <w:multiLevelType w:val="singleLevel"/>
    <w:tmpl w:val="96C2D04C"/>
    <w:lvl w:ilvl="0" w:tentative="0">
      <w:start w:val="3"/>
      <w:numFmt w:val="decimal"/>
      <w:lvlText w:val="%1."/>
      <w:lvlJc w:val="left"/>
      <w:pPr>
        <w:tabs>
          <w:tab w:val="left" w:pos="312"/>
        </w:tabs>
      </w:pPr>
    </w:lvl>
  </w:abstractNum>
  <w:abstractNum w:abstractNumId="1">
    <w:nsid w:val="CFEB749B"/>
    <w:multiLevelType w:val="singleLevel"/>
    <w:tmpl w:val="CFEB749B"/>
    <w:lvl w:ilvl="0" w:tentative="0">
      <w:start w:val="5"/>
      <w:numFmt w:val="chineseCounting"/>
      <w:suff w:val="nothing"/>
      <w:lvlText w:val="%1、"/>
      <w:lvlJc w:val="left"/>
      <w:rPr>
        <w:rFonts w:hint="eastAsia"/>
      </w:rPr>
    </w:lvl>
  </w:abstractNum>
  <w:abstractNum w:abstractNumId="2">
    <w:nsid w:val="DEFE425B"/>
    <w:multiLevelType w:val="singleLevel"/>
    <w:tmpl w:val="DEFE425B"/>
    <w:lvl w:ilvl="0" w:tentative="0">
      <w:start w:val="6"/>
      <w:numFmt w:val="chineseCounting"/>
      <w:suff w:val="nothing"/>
      <w:lvlText w:val="（%1）"/>
      <w:lvlJc w:val="left"/>
      <w:rPr>
        <w:rFonts w:hint="eastAsia"/>
      </w:rPr>
    </w:lvl>
  </w:abstractNum>
  <w:abstractNum w:abstractNumId="3">
    <w:nsid w:val="E39071D4"/>
    <w:multiLevelType w:val="singleLevel"/>
    <w:tmpl w:val="E39071D4"/>
    <w:lvl w:ilvl="0" w:tentative="0">
      <w:start w:val="1"/>
      <w:numFmt w:val="chineseCounting"/>
      <w:lvlText w:val="(%1)"/>
      <w:lvlJc w:val="left"/>
      <w:pPr>
        <w:tabs>
          <w:tab w:val="left" w:pos="312"/>
        </w:tabs>
      </w:pPr>
      <w:rPr>
        <w:rFonts w:hint="eastAsia"/>
      </w:rPr>
    </w:lvl>
  </w:abstractNum>
  <w:abstractNum w:abstractNumId="4">
    <w:nsid w:val="FF36E898"/>
    <w:multiLevelType w:val="singleLevel"/>
    <w:tmpl w:val="FF36E898"/>
    <w:lvl w:ilvl="0" w:tentative="0">
      <w:start w:val="2"/>
      <w:numFmt w:val="decimal"/>
      <w:suff w:val="nothing"/>
      <w:lvlText w:val="%1、"/>
      <w:lvlJc w:val="left"/>
    </w:lvl>
  </w:abstractNum>
  <w:abstractNum w:abstractNumId="5">
    <w:nsid w:val="2C502E3A"/>
    <w:multiLevelType w:val="multilevel"/>
    <w:tmpl w:val="2C502E3A"/>
    <w:lvl w:ilvl="0" w:tentative="0">
      <w:start w:val="1"/>
      <w:numFmt w:val="japaneseCounting"/>
      <w:lvlText w:val="第%1章"/>
      <w:lvlJc w:val="left"/>
      <w:pPr>
        <w:ind w:left="1485" w:hanging="14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0E40F7B"/>
    <w:multiLevelType w:val="multilevel"/>
    <w:tmpl w:val="50E40F7B"/>
    <w:lvl w:ilvl="0" w:tentative="0">
      <w:start w:val="1"/>
      <w:numFmt w:val="japaneseCounting"/>
      <w:lvlText w:val="第%1节"/>
      <w:lvlJc w:val="left"/>
      <w:pPr>
        <w:ind w:left="1128" w:hanging="1128"/>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1"/>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49"/>
    <w:rsid w:val="0001247B"/>
    <w:rsid w:val="00051D3D"/>
    <w:rsid w:val="002A3542"/>
    <w:rsid w:val="002A6411"/>
    <w:rsid w:val="002B1554"/>
    <w:rsid w:val="002C3A9E"/>
    <w:rsid w:val="00354A5C"/>
    <w:rsid w:val="00357092"/>
    <w:rsid w:val="00422B5F"/>
    <w:rsid w:val="00480AE6"/>
    <w:rsid w:val="005579CF"/>
    <w:rsid w:val="00571979"/>
    <w:rsid w:val="005D5B39"/>
    <w:rsid w:val="0062044A"/>
    <w:rsid w:val="00692F7A"/>
    <w:rsid w:val="00715F59"/>
    <w:rsid w:val="00791B64"/>
    <w:rsid w:val="00823C9B"/>
    <w:rsid w:val="00830FE7"/>
    <w:rsid w:val="0083345F"/>
    <w:rsid w:val="008456E6"/>
    <w:rsid w:val="008C0F57"/>
    <w:rsid w:val="008D09A2"/>
    <w:rsid w:val="008F2079"/>
    <w:rsid w:val="00956FB2"/>
    <w:rsid w:val="009801DC"/>
    <w:rsid w:val="009C7CB0"/>
    <w:rsid w:val="00A1770C"/>
    <w:rsid w:val="00A34746"/>
    <w:rsid w:val="00A775FD"/>
    <w:rsid w:val="00A85B49"/>
    <w:rsid w:val="00B326F6"/>
    <w:rsid w:val="00B340CB"/>
    <w:rsid w:val="00BB13A2"/>
    <w:rsid w:val="00BC5340"/>
    <w:rsid w:val="00CB140A"/>
    <w:rsid w:val="00CE7DDF"/>
    <w:rsid w:val="00D04082"/>
    <w:rsid w:val="00DA5A80"/>
    <w:rsid w:val="00DD6771"/>
    <w:rsid w:val="00DE19CD"/>
    <w:rsid w:val="00E3027A"/>
    <w:rsid w:val="00E42844"/>
    <w:rsid w:val="00E54D70"/>
    <w:rsid w:val="00E569BD"/>
    <w:rsid w:val="00E613AC"/>
    <w:rsid w:val="00E62523"/>
    <w:rsid w:val="00E72A4D"/>
    <w:rsid w:val="00E94CC3"/>
    <w:rsid w:val="00F05247"/>
    <w:rsid w:val="00F11291"/>
    <w:rsid w:val="00F14261"/>
    <w:rsid w:val="00F777B5"/>
    <w:rsid w:val="00FB76CE"/>
    <w:rsid w:val="0364405E"/>
    <w:rsid w:val="07382980"/>
    <w:rsid w:val="09D824A4"/>
    <w:rsid w:val="0B1738A9"/>
    <w:rsid w:val="0CC200A9"/>
    <w:rsid w:val="0E50346B"/>
    <w:rsid w:val="0E6E61AB"/>
    <w:rsid w:val="0F6B35DC"/>
    <w:rsid w:val="145D075C"/>
    <w:rsid w:val="158201E3"/>
    <w:rsid w:val="16351E52"/>
    <w:rsid w:val="1D974C31"/>
    <w:rsid w:val="22F27054"/>
    <w:rsid w:val="23004DEB"/>
    <w:rsid w:val="248369D4"/>
    <w:rsid w:val="28F168A9"/>
    <w:rsid w:val="34103597"/>
    <w:rsid w:val="34724034"/>
    <w:rsid w:val="36CB1AB3"/>
    <w:rsid w:val="37925438"/>
    <w:rsid w:val="38260854"/>
    <w:rsid w:val="3EB33EC5"/>
    <w:rsid w:val="3F1632A6"/>
    <w:rsid w:val="42412EE5"/>
    <w:rsid w:val="42940463"/>
    <w:rsid w:val="434758AC"/>
    <w:rsid w:val="4832249F"/>
    <w:rsid w:val="48DD5CF9"/>
    <w:rsid w:val="4AD71887"/>
    <w:rsid w:val="4B9615B8"/>
    <w:rsid w:val="4DCA5080"/>
    <w:rsid w:val="4F271D3E"/>
    <w:rsid w:val="5175073C"/>
    <w:rsid w:val="5176368D"/>
    <w:rsid w:val="51923014"/>
    <w:rsid w:val="5625355A"/>
    <w:rsid w:val="5A7C06EE"/>
    <w:rsid w:val="5FF93596"/>
    <w:rsid w:val="61FD6A7B"/>
    <w:rsid w:val="62830633"/>
    <w:rsid w:val="63096C30"/>
    <w:rsid w:val="63EB62C6"/>
    <w:rsid w:val="6B11560E"/>
    <w:rsid w:val="6B261B2A"/>
    <w:rsid w:val="6BF264A8"/>
    <w:rsid w:val="6F6B62E1"/>
    <w:rsid w:val="6F956620"/>
    <w:rsid w:val="7256649A"/>
    <w:rsid w:val="743D3BAE"/>
    <w:rsid w:val="7676051E"/>
    <w:rsid w:val="792F271C"/>
    <w:rsid w:val="79DA7455"/>
    <w:rsid w:val="7CD66ECC"/>
    <w:rsid w:val="7DA97E5E"/>
    <w:rsid w:val="7FC52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0"/>
    <w:pPr>
      <w:keepNext/>
      <w:keepLines/>
      <w:spacing w:before="340" w:after="330" w:line="576" w:lineRule="auto"/>
      <w:outlineLvl w:val="0"/>
    </w:pPr>
    <w:rPr>
      <w:rFonts w:ascii="Times New Roman" w:hAnsi="Times New Roman" w:eastAsia="宋体" w:cs="Times New Roman"/>
      <w:b/>
      <w:kern w:val="44"/>
      <w:sz w:val="32"/>
      <w:szCs w:val="20"/>
    </w:rPr>
  </w:style>
  <w:style w:type="paragraph" w:styleId="3">
    <w:name w:val="heading 2"/>
    <w:basedOn w:val="1"/>
    <w:next w:val="4"/>
    <w:link w:val="19"/>
    <w:qFormat/>
    <w:uiPriority w:val="0"/>
    <w:pPr>
      <w:keepNext/>
      <w:keepLines/>
      <w:spacing w:before="260" w:after="260" w:line="500" w:lineRule="exact"/>
      <w:outlineLvl w:val="1"/>
    </w:pPr>
    <w:rPr>
      <w:rFonts w:ascii="Arial" w:hAnsi="Arial" w:eastAsia="黑体" w:cs="Times New Roman"/>
      <w:b/>
      <w:sz w:val="28"/>
      <w:szCs w:val="20"/>
    </w:rPr>
  </w:style>
  <w:style w:type="paragraph" w:styleId="5">
    <w:name w:val="heading 3"/>
    <w:basedOn w:val="1"/>
    <w:next w:val="1"/>
    <w:link w:val="20"/>
    <w:unhideWhenUsed/>
    <w:qFormat/>
    <w:uiPriority w:val="9"/>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unhideWhenUsed/>
    <w:qFormat/>
    <w:uiPriority w:val="0"/>
    <w:pPr>
      <w:ind w:firstLine="420" w:firstLineChars="200"/>
    </w:pPr>
    <w:rPr>
      <w:rFonts w:ascii="Times New Roman" w:hAnsi="Times New Roman" w:eastAsia="宋体" w:cs="Times New Roman"/>
      <w:szCs w:val="24"/>
    </w:rPr>
  </w:style>
  <w:style w:type="paragraph" w:styleId="6">
    <w:name w:val="Body Text 3"/>
    <w:basedOn w:val="1"/>
    <w:qFormat/>
    <w:uiPriority w:val="99"/>
    <w:pPr>
      <w:widowControl/>
      <w:jc w:val="center"/>
    </w:pPr>
    <w:rPr>
      <w:rFonts w:hAnsi="Symbol"/>
      <w:sz w:val="10"/>
      <w:szCs w:val="10"/>
    </w:rPr>
  </w:style>
  <w:style w:type="paragraph" w:styleId="7">
    <w:name w:val="toc 3"/>
    <w:basedOn w:val="1"/>
    <w:next w:val="1"/>
    <w:unhideWhenUsed/>
    <w:qFormat/>
    <w:uiPriority w:val="39"/>
    <w:pPr>
      <w:ind w:left="840" w:leftChars="400"/>
    </w:pPr>
  </w:style>
  <w:style w:type="paragraph" w:styleId="8">
    <w:name w:val="footer"/>
    <w:basedOn w:val="1"/>
    <w:link w:val="27"/>
    <w:unhideWhenUsed/>
    <w:qFormat/>
    <w:uiPriority w:val="99"/>
    <w:pPr>
      <w:tabs>
        <w:tab w:val="center" w:pos="4153"/>
        <w:tab w:val="right" w:pos="8306"/>
      </w:tabs>
      <w:snapToGrid w:val="0"/>
      <w:jc w:val="left"/>
    </w:pPr>
    <w:rPr>
      <w:sz w:val="18"/>
      <w:szCs w:val="18"/>
    </w:rPr>
  </w:style>
  <w:style w:type="paragraph" w:styleId="9">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Title"/>
    <w:basedOn w:val="1"/>
    <w:next w:val="1"/>
    <w:link w:val="21"/>
    <w:qFormat/>
    <w:uiPriority w:val="10"/>
    <w:pPr>
      <w:spacing w:before="240" w:after="60"/>
      <w:jc w:val="center"/>
      <w:outlineLvl w:val="0"/>
    </w:pPr>
    <w:rPr>
      <w:rFonts w:eastAsia="宋体" w:asciiTheme="majorHAnsi" w:hAnsiTheme="majorHAnsi" w:cstheme="majorBidi"/>
      <w:b/>
      <w:bCs/>
      <w:sz w:val="32"/>
      <w:szCs w:val="32"/>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qFormat/>
    <w:uiPriority w:val="0"/>
    <w:rPr>
      <w:color w:val="0000FF"/>
      <w:u w:val="single"/>
    </w:rPr>
  </w:style>
  <w:style w:type="character" w:customStyle="1" w:styleId="17">
    <w:name w:val="标题 1 Char"/>
    <w:basedOn w:val="15"/>
    <w:link w:val="2"/>
    <w:qFormat/>
    <w:uiPriority w:val="0"/>
    <w:rPr>
      <w:rFonts w:ascii="Times New Roman" w:hAnsi="Times New Roman" w:eastAsia="宋体" w:cs="Times New Roman"/>
      <w:b/>
      <w:kern w:val="44"/>
      <w:sz w:val="32"/>
      <w:szCs w:val="20"/>
    </w:rPr>
  </w:style>
  <w:style w:type="paragraph" w:customStyle="1" w:styleId="18">
    <w:name w:val="正文首行缩进两字符"/>
    <w:basedOn w:val="1"/>
    <w:qFormat/>
    <w:uiPriority w:val="0"/>
    <w:pPr>
      <w:spacing w:line="360" w:lineRule="auto"/>
      <w:ind w:firstLine="200" w:firstLineChars="200"/>
    </w:pPr>
    <w:rPr>
      <w:rFonts w:ascii="Times New Roman" w:hAnsi="Times New Roman" w:eastAsia="宋体" w:cs="Times New Roman"/>
      <w:szCs w:val="24"/>
    </w:rPr>
  </w:style>
  <w:style w:type="character" w:customStyle="1" w:styleId="19">
    <w:name w:val="标题 2 Char"/>
    <w:basedOn w:val="15"/>
    <w:link w:val="3"/>
    <w:qFormat/>
    <w:uiPriority w:val="0"/>
    <w:rPr>
      <w:rFonts w:ascii="Arial" w:hAnsi="Arial" w:eastAsia="黑体" w:cs="Times New Roman"/>
      <w:b/>
      <w:sz w:val="28"/>
      <w:szCs w:val="20"/>
    </w:rPr>
  </w:style>
  <w:style w:type="character" w:customStyle="1" w:styleId="20">
    <w:name w:val="标题 3 Char"/>
    <w:basedOn w:val="15"/>
    <w:link w:val="5"/>
    <w:qFormat/>
    <w:uiPriority w:val="9"/>
    <w:rPr>
      <w:rFonts w:ascii="Times New Roman" w:hAnsi="Times New Roman" w:eastAsia="宋体" w:cs="Times New Roman"/>
      <w:b/>
      <w:bCs/>
      <w:sz w:val="32"/>
      <w:szCs w:val="32"/>
    </w:rPr>
  </w:style>
  <w:style w:type="character" w:customStyle="1" w:styleId="21">
    <w:name w:val="标题 Char"/>
    <w:basedOn w:val="15"/>
    <w:link w:val="12"/>
    <w:qFormat/>
    <w:uiPriority w:val="10"/>
    <w:rPr>
      <w:rFonts w:eastAsia="宋体" w:asciiTheme="majorHAnsi" w:hAnsiTheme="majorHAnsi" w:cstheme="majorBidi"/>
      <w:b/>
      <w:bCs/>
      <w:sz w:val="32"/>
      <w:szCs w:val="32"/>
    </w:rPr>
  </w:style>
  <w:style w:type="paragraph" w:customStyle="1" w:styleId="22">
    <w:name w:val="样式"/>
    <w:qFormat/>
    <w:uiPriority w:val="0"/>
    <w:pPr>
      <w:widowControl w:val="0"/>
      <w:tabs>
        <w:tab w:val="left" w:pos="700"/>
      </w:tabs>
      <w:autoSpaceDE w:val="0"/>
      <w:autoSpaceDN w:val="0"/>
      <w:adjustRightInd w:val="0"/>
      <w:spacing w:after="200" w:line="276" w:lineRule="auto"/>
    </w:pPr>
    <w:rPr>
      <w:rFonts w:ascii="宋体" w:hAnsi="宋体" w:eastAsia="宋体" w:cs="宋体"/>
      <w:sz w:val="24"/>
      <w:szCs w:val="24"/>
      <w:lang w:val="en-US" w:eastAsia="zh-CN" w:bidi="ar-SA"/>
    </w:rPr>
  </w:style>
  <w:style w:type="paragraph" w:customStyle="1" w:styleId="23">
    <w:name w:val="表格"/>
    <w:basedOn w:val="1"/>
    <w:qFormat/>
    <w:uiPriority w:val="0"/>
    <w:pPr>
      <w:spacing w:line="400" w:lineRule="exact"/>
    </w:pPr>
    <w:rPr>
      <w:rFonts w:ascii="Times New Roman" w:hAnsi="Times New Roman" w:eastAsia="宋体" w:cs="Times New Roman"/>
      <w:sz w:val="24"/>
      <w:szCs w:val="24"/>
    </w:rPr>
  </w:style>
  <w:style w:type="character" w:customStyle="1" w:styleId="24">
    <w:name w:val="列出段落 Char"/>
    <w:link w:val="25"/>
    <w:qFormat/>
    <w:locked/>
    <w:uiPriority w:val="0"/>
    <w:rPr>
      <w:szCs w:val="24"/>
    </w:rPr>
  </w:style>
  <w:style w:type="paragraph" w:customStyle="1" w:styleId="25">
    <w:name w:val="列出段落1"/>
    <w:basedOn w:val="1"/>
    <w:link w:val="24"/>
    <w:qFormat/>
    <w:uiPriority w:val="0"/>
    <w:pPr>
      <w:ind w:firstLine="420" w:firstLineChars="200"/>
    </w:pPr>
    <w:rPr>
      <w:szCs w:val="24"/>
    </w:rPr>
  </w:style>
  <w:style w:type="character" w:customStyle="1" w:styleId="26">
    <w:name w:val="页眉 Char"/>
    <w:basedOn w:val="15"/>
    <w:link w:val="9"/>
    <w:qFormat/>
    <w:uiPriority w:val="99"/>
    <w:rPr>
      <w:sz w:val="18"/>
      <w:szCs w:val="18"/>
    </w:rPr>
  </w:style>
  <w:style w:type="character" w:customStyle="1" w:styleId="27">
    <w:name w:val="页脚 Char"/>
    <w:basedOn w:val="15"/>
    <w:link w:val="8"/>
    <w:qFormat/>
    <w:uiPriority w:val="99"/>
    <w:rPr>
      <w:sz w:val="18"/>
      <w:szCs w:val="18"/>
    </w:rPr>
  </w:style>
  <w:style w:type="paragraph" w:customStyle="1" w:styleId="28">
    <w:name w:val="WPSOffice手动目录 1"/>
    <w:qFormat/>
    <w:uiPriority w:val="0"/>
    <w:pPr>
      <w:ind w:leftChars="0"/>
    </w:pPr>
    <w:rPr>
      <w:rFonts w:asciiTheme="minorHAnsi" w:hAnsiTheme="minorHAnsi" w:eastAsiaTheme="minorEastAsia" w:cstheme="minorBidi"/>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72</Pages>
  <Words>3391</Words>
  <Characters>19334</Characters>
  <Lines>161</Lines>
  <Paragraphs>45</Paragraphs>
  <TotalTime>0</TotalTime>
  <ScaleCrop>false</ScaleCrop>
  <LinksUpToDate>false</LinksUpToDate>
  <CharactersWithSpaces>22680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2021-04-30T05:27:00Z</dcterms:created>
  <dc:creator>Windows 用户</dc:creator>
  <cp:lastModifiedBy>WPS_1541930150</cp:lastModifiedBy>
  <dcterms:modified xsi:type="dcterms:W3CDTF">2022-01-13T07:17:18Z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DA1AD93920A4415394B7C63EFA4228C2</vt:lpwstr>
  </property>
  <property fmtid="{D5CDD505-2E9C-101B-9397-08002B2CF9AE}" pid="3" name="KSOProductBuildVer">
    <vt:lpwstr>2052-11.1.0.11194</vt:lpwstr>
  </property>
</Properties>
</file>